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3451859</wp:posOffset>
                </wp:positionH>
                <wp:positionV relativeFrom="paragraph">
                  <wp:posOffset>-275588</wp:posOffset>
                </wp:positionV>
                <wp:extent cx="2707640" cy="714375"/>
                <wp:wrapNone/>
                <wp:docPr id="1" name=""/>
                <a:graphic>
                  <a:graphicData uri="http://schemas.microsoft.com/office/word/2010/wordprocessingShape">
                    <wps:wsp>
                      <wps:cNvSpPr txBox="1">
                        <a:spLocks noChangeArrowheads="1"/>
                      </wps:cNvSpPr>
                      <wps:cNvPr id="2" name="Zone de texte 2"/>
                      <wps:spPr bwMode="auto">
                        <a:xfrm>
                          <a:off x="0" y="0"/>
                          <a:ext cx="2707640" cy="714375"/>
                        </a:xfrm>
                        <a:prstGeom prst="rect">
                          <a:avLst/>
                        </a:prstGeom>
                        <a:noFill/>
                        <a:ln>
                          <a:noFill/>
                        </a:ln>
                        <a:extLst>
                          <a:ext uri="{909E8E84-426E-40DD-AFC4-6F175D3DCCD1}"/>
                          <a:ext uri="{91240B29-F687-4F45-9708-019B960494DF}"/>
                        </a:extLst>
                      </wps:spPr>
                      <wps:txbx>
                        <w:txbxContent>
                          <w:p w:rsidR="00000000" w:rsidDel="00000000" w:rsidP="00452663"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04531811" w:rsidRPr="14765237">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04531811" w:rsidRPr="00000000">
                              <w:rPr>
                                <w:w w:val="100"/>
                                <w:position w:val="-1"/>
                                <w:effect w:val="none"/>
                                <w:vertAlign w:val="baseline"/>
                                <w:cs w:val="0"/>
                                <w:em w:val="none"/>
                                <w:lang/>
                              </w:rPr>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3451859</wp:posOffset>
                </wp:positionH>
                <wp:positionV relativeFrom="paragraph">
                  <wp:posOffset>-275588</wp:posOffset>
                </wp:positionV>
                <wp:extent cx="2707640" cy="71437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07640" cy="7143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-499108</wp:posOffset>
                </wp:positionH>
                <wp:positionV relativeFrom="paragraph">
                  <wp:posOffset>-275588</wp:posOffset>
                </wp:positionV>
                <wp:extent cx="2357120" cy="832485"/>
                <wp:wrapNone/>
                <wp:docPr id="3" name=""/>
                <a:graphic>
                  <a:graphicData uri="http://schemas.microsoft.com/office/word/2010/wordprocessingShape">
                    <wps:wsp>
                      <wps:cNvSpPr txBox="1"/>
                      <wps:spPr>
                        <a:xfrm>
                          <a:off x="0" y="0"/>
                          <a:ext cx="2357120" cy="832485"/>
                        </a:xfrm>
                        <a:prstGeom prst="rect"/>
                        <a:noFill/>
                        <a:ln cap="flat" cmpd="sng" w="9525" algn="ctr">
                          <a:noFill/>
                          <a:miter lim="800000"/>
                          <a:headEnd/>
                          <a:tailEnd/>
                        </a:ln>
                      </wps:spPr>
                      <wps:txbx>
                        <w:txbxContent>
                          <w:p w:rsidR="00000000" w:rsidDel="00000000" w:rsidP="00B105CF" w:rsidRDefault="00000000" w:rsidRPr="00000000">
                            <w:pPr>
                              <w:pStyle w:val="Normal"/>
                              <w:suppressAutoHyphens w:val="1"/>
                              <w:spacing w:line="1" w:lineRule="atLeast"/>
                              <w:ind w:leftChars="-1" w:rightChars="0" w:firstLineChars="-1"/>
                              <w:jc w:val="center"/>
                              <w:textDirection w:val="btLr"/>
                              <w:textAlignment w:val="top"/>
                              <w:outlineLvl w:val="0"/>
                              <w:rPr>
                                <w:w w:val="100"/>
                                <w:position w:val="-1"/>
                                <w:szCs w:val="24"/>
                                <w:effect w:val="none"/>
                                <w:vertAlign w:val="baseline"/>
                                <w:cs w:val="0"/>
                                <w:em w:val="none"/>
                                <w:lang/>
                              </w:rPr>
                            </w:pPr>
                            <w:r w:rsidDel="00000000" w:rsidR="09902143" w:rsidRPr="01919583">
                              <w:rPr>
                                <w:b w:val="1"/>
                                <w:w w:val="100"/>
                                <w:position w:val="-1"/>
                                <w:szCs w:val="24"/>
                                <w:effect w:val="none"/>
                                <w:vertAlign w:val="baseline"/>
                                <w:cs w:val="0"/>
                                <w:em w:val="none"/>
                                <w:lang/>
                              </w:rPr>
                              <w:t>R</w:t>
                            </w:r>
                            <w:r w:rsidDel="00000000" w:rsidR="09902143" w:rsidRPr="00000000">
                              <w:rPr>
                                <w:b w:val="1"/>
                                <w:w w:val="100"/>
                                <w:position w:val="-1"/>
                                <w:szCs w:val="24"/>
                                <w:effect w:val="none"/>
                                <w:vertAlign w:val="baseline"/>
                                <w:cs w:val="0"/>
                                <w:em w:val="none"/>
                                <w:lang/>
                              </w:rPr>
                              <w:t>É</w:t>
                            </w:r>
                            <w:r w:rsidDel="00000000" w:rsidR="09902143" w:rsidRPr="01919583">
                              <w:rPr>
                                <w:b w:val="1"/>
                                <w:w w:val="100"/>
                                <w:position w:val="-1"/>
                                <w:szCs w:val="24"/>
                                <w:effect w:val="none"/>
                                <w:vertAlign w:val="baseline"/>
                                <w:cs w:val="0"/>
                                <w:em w:val="none"/>
                                <w:lang/>
                              </w:rPr>
                              <w:t>PUBLIQUE FRANÇAISE</w:t>
                            </w:r>
                            <w:r w:rsidDel="00000000" w:rsidR="09902143" w:rsidRPr="01919583">
                              <w:rPr>
                                <w:w w:val="100"/>
                                <w:position w:val="-1"/>
                                <w:szCs w:val="24"/>
                                <w:effect w:val="none"/>
                                <w:vertAlign w:val="baseline"/>
                                <w:cs w:val="0"/>
                                <w:em w:val="none"/>
                                <w:lang/>
                              </w:rPr>
                            </w:r>
                          </w:p>
                          <w:p w:rsidR="00000000" w:rsidDel="00000000" w:rsidP="00B105CF" w:rsidRDefault="00000000" w:rsidRPr="00000000">
                            <w:pPr>
                              <w:pStyle w:val="Normal"/>
                              <w:suppressAutoHyphens w:val="1"/>
                              <w:spacing w:line="1" w:lineRule="atLeast"/>
                              <w:ind w:leftChars="-1" w:rightChars="0" w:firstLineChars="-1"/>
                              <w:jc w:val="center"/>
                              <w:textDirection w:val="btLr"/>
                              <w:textAlignment w:val="top"/>
                              <w:outlineLvl w:val="0"/>
                              <w:rPr>
                                <w:w w:val="100"/>
                                <w:position w:val="-1"/>
                                <w:szCs w:val="24"/>
                                <w:effect w:val="none"/>
                                <w:vertAlign w:val="baseline"/>
                                <w:cs w:val="0"/>
                                <w:em w:val="none"/>
                                <w:lang/>
                              </w:rPr>
                            </w:pPr>
                            <w:r w:rsidDel="00000000" w:rsidR="09902143" w:rsidRPr="01919583">
                              <w:rPr>
                                <w:w w:val="100"/>
                                <w:position w:val="-1"/>
                                <w:szCs w:val="24"/>
                                <w:effect w:val="none"/>
                                <w:vertAlign w:val="baseline"/>
                                <w:cs w:val="0"/>
                                <w:em w:val="none"/>
                                <w:lang/>
                              </w:rPr>
                              <w:t>————</w:t>
                            </w:r>
                          </w:p>
                          <w:p w:rsidR="00000000" w:rsidDel="00000000" w:rsidP="00F94550" w:rsidRDefault="00000000" w:rsidRPr="00000000">
                            <w:pPr>
                              <w:pStyle w:val="Normal(Web)"/>
                              <w:suppressAutoHyphens w:val="1"/>
                              <w:spacing w:after="60" w:before="60" w:line="1" w:lineRule="atLeast"/>
                              <w:ind w:leftChars="-1" w:rightChars="0" w:firstLineChars="-1"/>
                              <w:jc w:val="center"/>
                              <w:textDirection w:val="btLr"/>
                              <w:textAlignment w:val="top"/>
                              <w:outlineLvl w:val="0"/>
                              <w:rPr>
                                <w:color w:val="000000"/>
                                <w:w w:val="100"/>
                                <w:position w:val="-1"/>
                                <w:effect w:val="none"/>
                                <w:vertAlign w:val="baseline"/>
                                <w:cs w:val="0"/>
                                <w:em w:val="none"/>
                                <w:lang/>
                              </w:rPr>
                            </w:pPr>
                            <w:r w:rsidDel="00000000" w:rsidR="12664019" w:rsidRPr="00000000">
                              <w:rPr>
                                <w:color w:val="000000"/>
                                <w:w w:val="100"/>
                                <w:position w:val="-1"/>
                                <w:effect w:val="none"/>
                                <w:vertAlign w:val="baseline"/>
                                <w:cs w:val="0"/>
                                <w:em w:val="none"/>
                                <w:lang/>
                              </w:rPr>
                              <w:t>Premier mi</w:t>
                            </w:r>
                            <w:r w:rsidDel="00000000" w:rsidR="12664019" w:rsidRPr="00000000">
                              <w:rPr>
                                <w:color w:val="000000"/>
                                <w:w w:val="100"/>
                                <w:position w:val="-1"/>
                                <w:effect w:val="none"/>
                                <w:vertAlign w:val="baseline"/>
                                <w:cs w:val="0"/>
                                <w:em w:val="none"/>
                                <w:lang/>
                              </w:rPr>
                              <w:t>nistre</w:t>
                            </w:r>
                            <w:r w:rsidDel="00000000" w:rsidR="16336208" w:rsidRPr="00000000">
                              <w:rPr>
                                <w:color w:val="000000"/>
                                <w:w w:val="100"/>
                                <w:position w:val="-1"/>
                                <w:effect w:val="none"/>
                                <w:vertAlign w:val="baseline"/>
                                <w:cs w:val="0"/>
                                <w:em w:val="none"/>
                                <w:lang/>
                              </w:rPr>
                            </w:r>
                          </w:p>
                          <w:p w:rsidR="00000000" w:rsidDel="00000000" w:rsidP="00F94550" w:rsidRDefault="00000000" w:rsidRPr="00000000">
                            <w:pPr>
                              <w:pStyle w:val="Normal(Web)"/>
                              <w:suppressAutoHyphens w:val="1"/>
                              <w:spacing w:line="1" w:lineRule="atLeast"/>
                              <w:ind w:leftChars="-1" w:rightChars="0" w:firstLineChars="-1"/>
                              <w:jc w:val="center"/>
                              <w:textDirection w:val="btLr"/>
                              <w:textAlignment w:val="top"/>
                              <w:outlineLvl w:val="0"/>
                              <w:rPr>
                                <w:w w:val="100"/>
                                <w:position w:val="-1"/>
                                <w:effect w:val="none"/>
                                <w:vertAlign w:val="baseline"/>
                                <w:cs w:val="0"/>
                                <w:em w:val="none"/>
                                <w:lang/>
                              </w:rPr>
                            </w:pPr>
                            <w:r w:rsidDel="00000000" w:rsidR="16278439" w:rsidRPr="00000000">
                              <w:rPr>
                                <w:w w:val="100"/>
                                <w:position w:val="-1"/>
                                <w:effect w:val="none"/>
                                <w:vertAlign w:val="baseline"/>
                                <w:cs w:val="0"/>
                                <w:em w:val="none"/>
                                <w:lang/>
                              </w:rPr>
                              <w:t>————</w:t>
                            </w:r>
                          </w:p>
                          <w:p w:rsidR="00000000" w:rsidDel="00000000" w:rsidP="00FA4CC7" w:rsidRDefault="00000000" w:rsidRPr="00000000">
                            <w:pPr>
                              <w:pStyle w:val="Normal"/>
                              <w:suppressAutoHyphens w:val="1"/>
                              <w:spacing w:line="1" w:lineRule="atLeast"/>
                              <w:ind w:leftChars="-1" w:rightChars="0" w:firstLineChars="-1"/>
                              <w:jc w:val="center"/>
                              <w:textDirection w:val="btLr"/>
                              <w:textAlignment w:val="top"/>
                              <w:outlineLvl w:val="0"/>
                              <w:rPr>
                                <w:w w:val="100"/>
                                <w:position w:val="-1"/>
                                <w:effect w:val="none"/>
                                <w:vertAlign w:val="baseline"/>
                                <w:cs w:val="0"/>
                                <w:em w:val="none"/>
                                <w:lang/>
                              </w:rPr>
                            </w:pPr>
                            <w:r w:rsidDel="00000000" w:rsidR="06568509" w:rsidRPr="00000000">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-499108</wp:posOffset>
                </wp:positionH>
                <wp:positionV relativeFrom="paragraph">
                  <wp:posOffset>-275588</wp:posOffset>
                </wp:positionV>
                <wp:extent cx="2357120" cy="832485"/>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357120" cy="83248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3451859</wp:posOffset>
                </wp:positionH>
                <wp:positionV relativeFrom="paragraph">
                  <wp:posOffset>-176528</wp:posOffset>
                </wp:positionV>
                <wp:extent cx="731520" cy="131445"/>
                <wp:wrapNone/>
                <wp:docPr id="2" name=""/>
                <a:graphic>
                  <a:graphicData uri="http://schemas.microsoft.com/office/word/2010/wordprocessingShape">
                    <wps:wsp>
                      <wps:cNvSpPr txBox="1"/>
                      <wps:spPr>
                        <a:xfrm>
                          <a:off x="0" y="0"/>
                          <a:ext cx="731520" cy="131445"/>
                        </a:xfrm>
                        <a:prstGeom prst="rect"/>
                        <a:noFill/>
                        <a:ln cap="flat" cmpd="sng" w="9525" algn="ctr">
                          <a:noFill/>
                          <a:miter lim="800000"/>
                          <a:headEnd/>
                          <a:tailEnd/>
                        </a:ln>
                      </wps:spPr>
                      <wps:txbx>
                        <w:txbxContent>
                          <w:p w:rsidR="00000000" w:rsidDel="00000000" w:rsidP="00F6195C" w:rsidRDefault="00000000" w:rsidRPr="00000000">
                            <w:pPr>
                              <w:pStyle w:val="Normal"/>
                              <w:suppressAutoHyphens w:val="1"/>
                              <w:spacing w:line="1" w:lineRule="atLeast"/>
                              <w:ind w:leftChars="-1" w:rightChars="0" w:firstLineChars="-1"/>
                              <w:jc w:val="center"/>
                              <w:textDirection w:val="btLr"/>
                              <w:textAlignment w:val="top"/>
                              <w:outlineLvl w:val="0"/>
                              <w:rPr>
                                <w:b w:val="0"/>
                                <w:smallCaps w:val="0"/>
                                <w:w w:val="100"/>
                                <w:position w:val="-1"/>
                                <w:effect w:val="none"/>
                                <w:vertAlign w:val="baseline"/>
                                <w:cs w:val="0"/>
                                <w:em w:val="none"/>
                                <w:lang/>
                              </w:rPr>
                            </w:pPr>
                            <w:r w:rsidDel="00000000" w:rsidR="16128348" w:rsidRPr="00000000">
                              <w:rPr>
                                <w:b w:val="1"/>
                                <w:smallCaps w:val="1"/>
                                <w:w w:val="100"/>
                                <w:position w:val="-1"/>
                                <w:effect w:val="none"/>
                                <w:vertAlign w:val="baseline"/>
                                <w:cs w:val="0"/>
                                <w:em w:val="none"/>
                                <w:lang/>
                              </w:rPr>
                              <w:t xml:space="preserve">Texte soumis à la délibération </w:t>
                            </w:r>
                          </w:p>
                          <w:p w:rsidR="00000000" w:rsidDel="00000000" w:rsidP="00F6195C" w:rsidRDefault="00000000" w:rsidRPr="00000000">
                            <w:pPr>
                              <w:pStyle w:val="Normal"/>
                              <w:suppressAutoHyphens w:val="1"/>
                              <w:spacing w:line="1" w:lineRule="atLeast"/>
                              <w:ind w:leftChars="-1" w:rightChars="0" w:firstLineChars="-1"/>
                              <w:jc w:val="center"/>
                              <w:textDirection w:val="btLr"/>
                              <w:textAlignment w:val="top"/>
                              <w:outlineLvl w:val="0"/>
                              <w:rPr>
                                <w:b w:val="0"/>
                                <w:smallCaps w:val="0"/>
                                <w:w w:val="100"/>
                                <w:position w:val="-1"/>
                                <w:effect w:val="none"/>
                                <w:vertAlign w:val="baseline"/>
                                <w:cs w:val="0"/>
                                <w:em w:val="none"/>
                                <w:lang/>
                              </w:rPr>
                            </w:pPr>
                            <w:r w:rsidDel="00000000" w:rsidR="16128348" w:rsidRPr="00000000">
                              <w:rPr>
                                <w:b w:val="1"/>
                                <w:smallCaps w:val="1"/>
                                <w:w w:val="100"/>
                                <w:position w:val="-1"/>
                                <w:effect w:val="none"/>
                                <w:vertAlign w:val="baseline"/>
                                <w:cs w:val="0"/>
                                <w:em w:val="none"/>
                                <w:lang/>
                              </w:rPr>
                              <w:t>du conseil des ministres</w:t>
                            </w:r>
                          </w:p>
                          <w:p w:rsidR="00000000" w:rsidDel="00000000" w:rsidP="00B70F43"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16128348" w:rsidRPr="00000000">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3451859</wp:posOffset>
                </wp:positionH>
                <wp:positionV relativeFrom="paragraph">
                  <wp:posOffset>-176528</wp:posOffset>
                </wp:positionV>
                <wp:extent cx="731520" cy="131445"/>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31520" cy="131445"/>
                        </a:xfrm>
                        <a:prstGeom prst="rect"/>
                        <a:ln/>
                      </pic:spPr>
                    </pic:pic>
                  </a:graphicData>
                </a:graphic>
              </wp:anchor>
            </w:drawing>
          </mc:Fallback>
        </mc:AlternateContent>
      </w:r>
    </w:p>
    <w:p w:rsidR="00000000" w:rsidDel="00000000" w:rsidP="00000000" w:rsidRDefault="00000000" w:rsidRPr="00000000" w14:paraId="00000002">
      <w:pPr>
        <w:jc w:val="right"/>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jc w:val="center"/>
        <w:rPr>
          <w:b w:val="0"/>
          <w:vertAlign w:val="baseline"/>
        </w:rPr>
      </w:pPr>
      <w:r w:rsidDel="00000000" w:rsidR="00000000" w:rsidRPr="00000000">
        <w:rPr>
          <w:rtl w:val="0"/>
        </w:rPr>
      </w:r>
    </w:p>
    <w:p w:rsidR="00000000" w:rsidDel="00000000" w:rsidP="00000000" w:rsidRDefault="00000000" w:rsidRPr="00000000" w14:paraId="00000007">
      <w:pPr>
        <w:jc w:val="center"/>
        <w:rPr>
          <w:b w:val="0"/>
          <w:vertAlign w:val="baseline"/>
        </w:rPr>
      </w:pPr>
      <w:r w:rsidDel="00000000" w:rsidR="00000000" w:rsidRPr="00000000">
        <w:rPr>
          <w:b w:val="1"/>
          <w:vertAlign w:val="baseline"/>
          <w:rtl w:val="0"/>
        </w:rPr>
        <w:t xml:space="preserve">Projet de loi </w:t>
      </w:r>
      <w:r w:rsidDel="00000000" w:rsidR="00000000" w:rsidRPr="00000000">
        <w:rPr>
          <w:rtl w:val="0"/>
        </w:rPr>
      </w:r>
    </w:p>
    <w:p w:rsidR="00000000" w:rsidDel="00000000" w:rsidP="00000000" w:rsidRDefault="00000000" w:rsidRPr="00000000" w14:paraId="00000008">
      <w:pPr>
        <w:jc w:val="center"/>
        <w:rPr>
          <w:b w:val="0"/>
          <w:vertAlign w:val="baseline"/>
        </w:rPr>
      </w:pPr>
      <w:r w:rsidDel="00000000" w:rsidR="00000000" w:rsidRPr="00000000">
        <w:rPr>
          <w:b w:val="1"/>
          <w:vertAlign w:val="baseline"/>
          <w:rtl w:val="0"/>
        </w:rPr>
        <w:t xml:space="preserve">relatif à l’adaptation de nos outils de gestion de la crise sanitaire</w:t>
      </w:r>
      <w:r w:rsidDel="00000000" w:rsidR="00000000" w:rsidRPr="00000000">
        <w:rPr>
          <w:rtl w:val="0"/>
        </w:rPr>
      </w:r>
    </w:p>
    <w:p w:rsidR="00000000" w:rsidDel="00000000" w:rsidP="00000000" w:rsidRDefault="00000000" w:rsidRPr="00000000" w14:paraId="00000009">
      <w:pPr>
        <w:jc w:val="center"/>
        <w:rPr>
          <w:vertAlign w:val="baseline"/>
        </w:rPr>
      </w:pPr>
      <w:r w:rsidDel="00000000" w:rsidR="00000000" w:rsidRPr="00000000">
        <w:rPr>
          <w:rtl w:val="0"/>
        </w:rPr>
      </w:r>
    </w:p>
    <w:p w:rsidR="00000000" w:rsidDel="00000000" w:rsidP="00000000" w:rsidRDefault="00000000" w:rsidRPr="00000000" w14:paraId="0000000A">
      <w:pPr>
        <w:jc w:val="center"/>
        <w:rPr>
          <w:vertAlign w:val="baseline"/>
        </w:rPr>
      </w:pPr>
      <w:r w:rsidDel="00000000" w:rsidR="00000000" w:rsidRPr="00000000">
        <w:rPr>
          <w:vertAlign w:val="baseline"/>
          <w:rtl w:val="0"/>
        </w:rPr>
        <w:t xml:space="preserve">NOR : </w:t>
      </w:r>
    </w:p>
    <w:p w:rsidR="00000000" w:rsidDel="00000000" w:rsidP="00000000" w:rsidRDefault="00000000" w:rsidRPr="00000000" w14:paraId="0000000B">
      <w:pPr>
        <w:jc w:val="center"/>
        <w:rPr>
          <w:vertAlign w:val="baseline"/>
        </w:rPr>
      </w:pPr>
      <w:r w:rsidDel="00000000" w:rsidR="00000000" w:rsidRPr="00000000">
        <w:rPr>
          <w:rtl w:val="0"/>
        </w:rPr>
      </w:r>
    </w:p>
    <w:p w:rsidR="00000000" w:rsidDel="00000000" w:rsidP="00000000" w:rsidRDefault="00000000" w:rsidRPr="00000000" w14:paraId="0000000C">
      <w:pPr>
        <w:jc w:val="center"/>
        <w:rPr>
          <w:vertAlign w:val="baseline"/>
        </w:rPr>
      </w:pPr>
      <w:r w:rsidDel="00000000" w:rsidR="00000000" w:rsidRPr="00000000">
        <w:rPr>
          <w:rtl w:val="0"/>
        </w:rPr>
      </w:r>
    </w:p>
    <w:p w:rsidR="00000000" w:rsidDel="00000000" w:rsidP="00000000" w:rsidRDefault="00000000" w:rsidRPr="00000000" w14:paraId="0000000D">
      <w:pPr>
        <w:jc w:val="center"/>
        <w:rPr>
          <w:b w:val="0"/>
          <w:vertAlign w:val="baseline"/>
        </w:rPr>
      </w:pPr>
      <w:r w:rsidDel="00000000" w:rsidR="00000000" w:rsidRPr="00000000">
        <w:rPr>
          <w:b w:val="1"/>
          <w:vertAlign w:val="baseline"/>
          <w:rtl w:val="0"/>
        </w:rPr>
        <w:t xml:space="preserve">Article 1</w:t>
      </w:r>
      <w:r w:rsidDel="00000000" w:rsidR="00000000" w:rsidRPr="00000000">
        <w:rPr>
          <w:b w:val="1"/>
          <w:vertAlign w:val="superscript"/>
          <w:rtl w:val="0"/>
        </w:rPr>
        <w:t xml:space="preserve">er</w:t>
      </w:r>
      <w:r w:rsidDel="00000000" w:rsidR="00000000" w:rsidRPr="00000000">
        <w:rPr>
          <w:rtl w:val="0"/>
        </w:rPr>
      </w:r>
    </w:p>
    <w:p w:rsidR="00000000" w:rsidDel="00000000" w:rsidP="00000000" w:rsidRDefault="00000000" w:rsidRPr="00000000" w14:paraId="0000000E">
      <w:pPr>
        <w:ind w:firstLine="709"/>
        <w:jc w:val="both"/>
        <w:rPr>
          <w:vertAlign w:val="baseline"/>
        </w:rPr>
      </w:pPr>
      <w:r w:rsidDel="00000000" w:rsidR="00000000" w:rsidRPr="00000000">
        <w:rPr>
          <w:rtl w:val="0"/>
        </w:rPr>
      </w:r>
    </w:p>
    <w:p w:rsidR="00000000" w:rsidDel="00000000" w:rsidP="00000000" w:rsidRDefault="00000000" w:rsidRPr="00000000" w14:paraId="0000000F">
      <w:pPr>
        <w:ind w:firstLine="709"/>
        <w:jc w:val="both"/>
        <w:rPr>
          <w:vertAlign w:val="baseline"/>
        </w:rPr>
      </w:pPr>
      <w:r w:rsidDel="00000000" w:rsidR="00000000" w:rsidRPr="00000000">
        <w:rPr>
          <w:vertAlign w:val="baseline"/>
          <w:rtl w:val="0"/>
        </w:rPr>
        <w:t xml:space="preserve">I. – La loi n° 2021-689 du 31 mai 2021 relative à la gestion de la sortie de crise sanitaire est ainsi modifiée :</w:t>
      </w:r>
    </w:p>
    <w:p w:rsidR="00000000" w:rsidDel="00000000" w:rsidP="00000000" w:rsidRDefault="00000000" w:rsidRPr="00000000" w14:paraId="00000010">
      <w:pPr>
        <w:ind w:firstLine="709"/>
        <w:jc w:val="both"/>
        <w:rPr>
          <w:vertAlign w:val="baseline"/>
        </w:rPr>
      </w:pPr>
      <w:r w:rsidDel="00000000" w:rsidR="00000000" w:rsidRPr="00000000">
        <w:rPr>
          <w:rtl w:val="0"/>
        </w:rPr>
      </w:r>
    </w:p>
    <w:p w:rsidR="00000000" w:rsidDel="00000000" w:rsidP="00000000" w:rsidRDefault="00000000" w:rsidRPr="00000000" w14:paraId="00000011">
      <w:pPr>
        <w:ind w:firstLine="709"/>
        <w:jc w:val="both"/>
        <w:rPr>
          <w:vertAlign w:val="baseline"/>
        </w:rPr>
      </w:pPr>
      <w:r w:rsidDel="00000000" w:rsidR="00000000" w:rsidRPr="00000000">
        <w:rPr>
          <w:vertAlign w:val="baseline"/>
          <w:rtl w:val="0"/>
        </w:rPr>
        <w:t xml:space="preserve">1° L’article 1</w:t>
      </w:r>
      <w:r w:rsidDel="00000000" w:rsidR="00000000" w:rsidRPr="00000000">
        <w:rPr>
          <w:vertAlign w:val="superscript"/>
          <w:rtl w:val="0"/>
        </w:rPr>
        <w:t xml:space="preserve">er</w:t>
      </w:r>
      <w:r w:rsidDel="00000000" w:rsidR="00000000" w:rsidRPr="00000000">
        <w:rPr>
          <w:vertAlign w:val="baseline"/>
          <w:rtl w:val="0"/>
        </w:rPr>
        <w:t xml:space="preserve"> est ainsi modifié :</w:t>
      </w:r>
    </w:p>
    <w:p w:rsidR="00000000" w:rsidDel="00000000" w:rsidP="00000000" w:rsidRDefault="00000000" w:rsidRPr="00000000" w14:paraId="00000012">
      <w:pPr>
        <w:ind w:firstLine="709"/>
        <w:jc w:val="both"/>
        <w:rPr>
          <w:vertAlign w:val="baseline"/>
        </w:rPr>
      </w:pPr>
      <w:r w:rsidDel="00000000" w:rsidR="00000000" w:rsidRPr="00000000">
        <w:rPr>
          <w:rtl w:val="0"/>
        </w:rPr>
      </w:r>
    </w:p>
    <w:p w:rsidR="00000000" w:rsidDel="00000000" w:rsidP="00000000" w:rsidRDefault="00000000" w:rsidRPr="00000000" w14:paraId="00000013">
      <w:pPr>
        <w:ind w:firstLine="709"/>
        <w:jc w:val="both"/>
        <w:rPr>
          <w:vertAlign w:val="baseline"/>
        </w:rPr>
      </w:pPr>
      <w:r w:rsidDel="00000000" w:rsidR="00000000" w:rsidRPr="00000000">
        <w:rPr>
          <w:i w:val="1"/>
          <w:vertAlign w:val="baseline"/>
          <w:rtl w:val="0"/>
        </w:rPr>
        <w:t xml:space="preserve">a)</w:t>
      </w:r>
      <w:r w:rsidDel="00000000" w:rsidR="00000000" w:rsidRPr="00000000">
        <w:rPr>
          <w:vertAlign w:val="baseline"/>
          <w:rtl w:val="0"/>
        </w:rPr>
        <w:t xml:space="preserve"> Au premier alinéa du I, la date : « 30 septembre 2021 » est remplacée par la date : « 31 décembre 2021 » ;</w:t>
      </w:r>
    </w:p>
    <w:p w:rsidR="00000000" w:rsidDel="00000000" w:rsidP="00000000" w:rsidRDefault="00000000" w:rsidRPr="00000000" w14:paraId="00000014">
      <w:pPr>
        <w:ind w:firstLine="709"/>
        <w:jc w:val="both"/>
        <w:rPr>
          <w:vertAlign w:val="baseline"/>
        </w:rPr>
      </w:pPr>
      <w:r w:rsidDel="00000000" w:rsidR="00000000" w:rsidRPr="00000000">
        <w:rPr>
          <w:rtl w:val="0"/>
        </w:rPr>
      </w:r>
    </w:p>
    <w:p w:rsidR="00000000" w:rsidDel="00000000" w:rsidP="00000000" w:rsidRDefault="00000000" w:rsidRPr="00000000" w14:paraId="00000015">
      <w:pPr>
        <w:ind w:firstLine="709"/>
        <w:jc w:val="both"/>
        <w:rPr>
          <w:vertAlign w:val="baseline"/>
        </w:rPr>
      </w:pPr>
      <w:r w:rsidDel="00000000" w:rsidR="00000000" w:rsidRPr="00000000">
        <w:rPr>
          <w:i w:val="1"/>
          <w:vertAlign w:val="baseline"/>
          <w:rtl w:val="0"/>
        </w:rPr>
        <w:t xml:space="preserve">b</w:t>
      </w:r>
      <w:r w:rsidDel="00000000" w:rsidR="00000000" w:rsidRPr="00000000">
        <w:rPr>
          <w:vertAlign w:val="baseline"/>
          <w:rtl w:val="0"/>
        </w:rPr>
        <w:t xml:space="preserve">) Au premier alinéa du A du II, la date : « 30 septembre 2021 » est remplacée par la date : « 31 décembre 2021 » ;</w:t>
      </w:r>
    </w:p>
    <w:p w:rsidR="00000000" w:rsidDel="00000000" w:rsidP="00000000" w:rsidRDefault="00000000" w:rsidRPr="00000000" w14:paraId="00000016">
      <w:pPr>
        <w:ind w:firstLine="709"/>
        <w:jc w:val="both"/>
        <w:rPr>
          <w:vertAlign w:val="baseline"/>
        </w:rPr>
      </w:pPr>
      <w:r w:rsidDel="00000000" w:rsidR="00000000" w:rsidRPr="00000000">
        <w:rPr>
          <w:rtl w:val="0"/>
        </w:rPr>
      </w:r>
    </w:p>
    <w:p w:rsidR="00000000" w:rsidDel="00000000" w:rsidP="00000000" w:rsidRDefault="00000000" w:rsidRPr="00000000" w14:paraId="00000017">
      <w:pPr>
        <w:ind w:firstLine="709"/>
        <w:jc w:val="both"/>
        <w:rPr>
          <w:vertAlign w:val="baseline"/>
        </w:rPr>
      </w:pPr>
      <w:r w:rsidDel="00000000" w:rsidR="00000000" w:rsidRPr="00000000">
        <w:rPr>
          <w:i w:val="1"/>
          <w:vertAlign w:val="baseline"/>
          <w:rtl w:val="0"/>
        </w:rPr>
        <w:t xml:space="preserve">c)</w:t>
      </w:r>
      <w:r w:rsidDel="00000000" w:rsidR="00000000" w:rsidRPr="00000000">
        <w:rPr>
          <w:vertAlign w:val="baseline"/>
          <w:rtl w:val="0"/>
        </w:rPr>
        <w:t xml:space="preserve"> Au 1° du même A, après les mots : « à l'article 72-3 de la Constitution », sont insérés les mots : « , ainsi qu’à celles souhaitant effectuer des déplacements de longue distance par transport public au sein du territoire hexagonal, » ;</w:t>
      </w:r>
    </w:p>
    <w:p w:rsidR="00000000" w:rsidDel="00000000" w:rsidP="00000000" w:rsidRDefault="00000000" w:rsidRPr="00000000" w14:paraId="00000018">
      <w:pPr>
        <w:ind w:firstLine="709"/>
        <w:jc w:val="both"/>
        <w:rPr>
          <w:vertAlign w:val="baseline"/>
        </w:rPr>
      </w:pPr>
      <w:r w:rsidDel="00000000" w:rsidR="00000000" w:rsidRPr="00000000">
        <w:rPr>
          <w:rtl w:val="0"/>
        </w:rPr>
      </w:r>
    </w:p>
    <w:p w:rsidR="00000000" w:rsidDel="00000000" w:rsidP="00000000" w:rsidRDefault="00000000" w:rsidRPr="00000000" w14:paraId="00000019">
      <w:pPr>
        <w:ind w:firstLine="709"/>
        <w:jc w:val="both"/>
        <w:rPr>
          <w:vertAlign w:val="baseline"/>
        </w:rPr>
      </w:pPr>
      <w:r w:rsidDel="00000000" w:rsidR="00000000" w:rsidRPr="00000000">
        <w:rPr>
          <w:i w:val="1"/>
          <w:vertAlign w:val="baseline"/>
          <w:rtl w:val="0"/>
        </w:rPr>
        <w:t xml:space="preserve">d)</w:t>
      </w:r>
      <w:r w:rsidDel="00000000" w:rsidR="00000000" w:rsidRPr="00000000">
        <w:rPr>
          <w:vertAlign w:val="baseline"/>
          <w:rtl w:val="0"/>
        </w:rPr>
        <w:t xml:space="preserve"> Le 2° du même A est remplacé par sept alinéas ainsi rédigés :</w:t>
      </w:r>
    </w:p>
    <w:p w:rsidR="00000000" w:rsidDel="00000000" w:rsidP="00000000" w:rsidRDefault="00000000" w:rsidRPr="00000000" w14:paraId="0000001A">
      <w:pPr>
        <w:ind w:firstLine="709"/>
        <w:jc w:val="both"/>
        <w:rPr>
          <w:vertAlign w:val="baseline"/>
        </w:rPr>
      </w:pPr>
      <w:r w:rsidDel="00000000" w:rsidR="00000000" w:rsidRPr="00000000">
        <w:rPr>
          <w:rtl w:val="0"/>
        </w:rPr>
      </w:r>
    </w:p>
    <w:p w:rsidR="00000000" w:rsidDel="00000000" w:rsidP="00000000" w:rsidRDefault="00000000" w:rsidRPr="00000000" w14:paraId="0000001B">
      <w:pPr>
        <w:ind w:firstLine="709"/>
        <w:jc w:val="both"/>
        <w:rPr>
          <w:vertAlign w:val="baseline"/>
        </w:rPr>
      </w:pPr>
      <w:r w:rsidDel="00000000" w:rsidR="00000000" w:rsidRPr="00000000">
        <w:rPr>
          <w:vertAlign w:val="baseline"/>
          <w:rtl w:val="0"/>
        </w:rPr>
        <w:t xml:space="preserve">« 2° Subordonner l'accès des personnes à certains lieux, établissements ou événements à la présentation soit du résultat d'un examen de dépistage virologique ne concluant pas à une contamination par la covid-19, soit d'un justificatif de statut vaccinal concernant la covid-19, soit d'un certificat de rétablissement à la suite d'une contamination par la covid-19 pour :</w:t>
      </w:r>
    </w:p>
    <w:p w:rsidR="00000000" w:rsidDel="00000000" w:rsidP="00000000" w:rsidRDefault="00000000" w:rsidRPr="00000000" w14:paraId="0000001C">
      <w:pPr>
        <w:ind w:firstLine="709"/>
        <w:jc w:val="both"/>
        <w:rPr>
          <w:vertAlign w:val="baseline"/>
        </w:rPr>
      </w:pPr>
      <w:r w:rsidDel="00000000" w:rsidR="00000000" w:rsidRPr="00000000">
        <w:rPr>
          <w:rtl w:val="0"/>
        </w:rPr>
      </w:r>
    </w:p>
    <w:p w:rsidR="00000000" w:rsidDel="00000000" w:rsidP="00000000" w:rsidRDefault="00000000" w:rsidRPr="00000000" w14:paraId="0000001D">
      <w:pPr>
        <w:ind w:firstLine="709"/>
        <w:jc w:val="both"/>
        <w:rPr>
          <w:vertAlign w:val="baseline"/>
        </w:rPr>
      </w:pPr>
      <w:r w:rsidDel="00000000" w:rsidR="00000000" w:rsidRPr="00000000">
        <w:rPr>
          <w:vertAlign w:val="baseline"/>
          <w:rtl w:val="0"/>
        </w:rPr>
        <w:t xml:space="preserve">« a) Les activités de loisirs ;</w:t>
      </w:r>
    </w:p>
    <w:p w:rsidR="00000000" w:rsidDel="00000000" w:rsidP="00000000" w:rsidRDefault="00000000" w:rsidRPr="00000000" w14:paraId="0000001E">
      <w:pPr>
        <w:ind w:firstLine="709"/>
        <w:jc w:val="both"/>
        <w:rPr>
          <w:vertAlign w:val="baseline"/>
        </w:rPr>
      </w:pPr>
      <w:r w:rsidDel="00000000" w:rsidR="00000000" w:rsidRPr="00000000">
        <w:rPr>
          <w:rtl w:val="0"/>
        </w:rPr>
      </w:r>
    </w:p>
    <w:p w:rsidR="00000000" w:rsidDel="00000000" w:rsidP="00000000" w:rsidRDefault="00000000" w:rsidRPr="00000000" w14:paraId="0000001F">
      <w:pPr>
        <w:ind w:firstLine="709"/>
        <w:jc w:val="both"/>
        <w:rPr>
          <w:vertAlign w:val="baseline"/>
        </w:rPr>
      </w:pPr>
      <w:r w:rsidDel="00000000" w:rsidR="00000000" w:rsidRPr="00000000">
        <w:rPr>
          <w:vertAlign w:val="baseline"/>
          <w:rtl w:val="0"/>
        </w:rPr>
        <w:t xml:space="preserve">« b) Les activités de restauration ou de débit de boisson ;</w:t>
      </w:r>
    </w:p>
    <w:p w:rsidR="00000000" w:rsidDel="00000000" w:rsidP="00000000" w:rsidRDefault="00000000" w:rsidRPr="00000000" w14:paraId="00000020">
      <w:pPr>
        <w:ind w:firstLine="709"/>
        <w:jc w:val="both"/>
        <w:rPr>
          <w:vertAlign w:val="baseline"/>
        </w:rPr>
      </w:pPr>
      <w:r w:rsidDel="00000000" w:rsidR="00000000" w:rsidRPr="00000000">
        <w:rPr>
          <w:rtl w:val="0"/>
        </w:rPr>
      </w:r>
    </w:p>
    <w:p w:rsidR="00000000" w:rsidDel="00000000" w:rsidP="00000000" w:rsidRDefault="00000000" w:rsidRPr="00000000" w14:paraId="00000021">
      <w:pPr>
        <w:ind w:firstLine="709"/>
        <w:jc w:val="both"/>
        <w:rPr>
          <w:vertAlign w:val="baseline"/>
        </w:rPr>
      </w:pPr>
      <w:r w:rsidDel="00000000" w:rsidR="00000000" w:rsidRPr="00000000">
        <w:rPr>
          <w:vertAlign w:val="baseline"/>
          <w:rtl w:val="0"/>
        </w:rPr>
        <w:t xml:space="preserve">« c) Les foires ou salons professionnels ;</w:t>
      </w:r>
    </w:p>
    <w:p w:rsidR="00000000" w:rsidDel="00000000" w:rsidP="00000000" w:rsidRDefault="00000000" w:rsidRPr="00000000" w14:paraId="00000022">
      <w:pPr>
        <w:ind w:firstLine="709"/>
        <w:jc w:val="both"/>
        <w:rPr>
          <w:vertAlign w:val="baseline"/>
        </w:rPr>
      </w:pPr>
      <w:r w:rsidDel="00000000" w:rsidR="00000000" w:rsidRPr="00000000">
        <w:rPr>
          <w:rtl w:val="0"/>
        </w:rPr>
      </w:r>
    </w:p>
    <w:p w:rsidR="00000000" w:rsidDel="00000000" w:rsidP="00000000" w:rsidRDefault="00000000" w:rsidRPr="00000000" w14:paraId="00000023">
      <w:pPr>
        <w:ind w:firstLine="709"/>
        <w:jc w:val="both"/>
        <w:rPr>
          <w:vertAlign w:val="baseline"/>
        </w:rPr>
      </w:pPr>
      <w:r w:rsidDel="00000000" w:rsidR="00000000" w:rsidRPr="00000000">
        <w:rPr>
          <w:vertAlign w:val="baseline"/>
          <w:rtl w:val="0"/>
        </w:rPr>
        <w:t xml:space="preserve">« d) Les services et établissements accueillant des personnes vulnérables, sauf en cas d’urgence ; </w:t>
      </w:r>
    </w:p>
    <w:p w:rsidR="00000000" w:rsidDel="00000000" w:rsidP="00000000" w:rsidRDefault="00000000" w:rsidRPr="00000000" w14:paraId="00000024">
      <w:pPr>
        <w:ind w:firstLine="709"/>
        <w:jc w:val="both"/>
        <w:rPr>
          <w:vertAlign w:val="baseline"/>
        </w:rPr>
      </w:pPr>
      <w:r w:rsidDel="00000000" w:rsidR="00000000" w:rsidRPr="00000000">
        <w:rPr>
          <w:rtl w:val="0"/>
        </w:rPr>
      </w:r>
    </w:p>
    <w:p w:rsidR="00000000" w:rsidDel="00000000" w:rsidP="00000000" w:rsidRDefault="00000000" w:rsidRPr="00000000" w14:paraId="00000025">
      <w:pPr>
        <w:ind w:firstLine="709"/>
        <w:jc w:val="both"/>
        <w:rPr>
          <w:vertAlign w:val="baseline"/>
        </w:rPr>
      </w:pPr>
      <w:r w:rsidDel="00000000" w:rsidR="00000000" w:rsidRPr="00000000">
        <w:rPr>
          <w:vertAlign w:val="baseline"/>
          <w:rtl w:val="0"/>
        </w:rPr>
        <w:t xml:space="preserve">« e) Les grands établissements et centres commerciaux.</w:t>
      </w:r>
    </w:p>
    <w:p w:rsidR="00000000" w:rsidDel="00000000" w:rsidP="00000000" w:rsidRDefault="00000000" w:rsidRPr="00000000" w14:paraId="00000026">
      <w:pPr>
        <w:ind w:firstLine="709"/>
        <w:jc w:val="both"/>
        <w:rPr>
          <w:vertAlign w:val="baseline"/>
        </w:rPr>
      </w:pPr>
      <w:r w:rsidDel="00000000" w:rsidR="00000000" w:rsidRPr="00000000">
        <w:rPr>
          <w:rtl w:val="0"/>
        </w:rPr>
      </w:r>
    </w:p>
    <w:p w:rsidR="00000000" w:rsidDel="00000000" w:rsidP="00000000" w:rsidRDefault="00000000" w:rsidRPr="00000000" w14:paraId="00000027">
      <w:pPr>
        <w:ind w:firstLine="709"/>
        <w:jc w:val="both"/>
        <w:rPr>
          <w:vertAlign w:val="baseline"/>
        </w:rPr>
      </w:pPr>
      <w:r w:rsidDel="00000000" w:rsidR="00000000" w:rsidRPr="00000000">
        <w:rPr>
          <w:vertAlign w:val="baseline"/>
          <w:rtl w:val="0"/>
        </w:rPr>
        <w:t xml:space="preserve">« Cette réglementation est appliquée en prenant en compte une densité adaptée aux caractéristiques des lieux, établissements ou événements concernés, y compris à l’extérieur, pour permettre de garantir la mise en œuvre de mesures de nature à prévenir les risques de propagation du virus. » ;</w:t>
      </w:r>
    </w:p>
    <w:p w:rsidR="00000000" w:rsidDel="00000000" w:rsidP="00000000" w:rsidRDefault="00000000" w:rsidRPr="00000000" w14:paraId="00000028">
      <w:pPr>
        <w:ind w:firstLine="709"/>
        <w:jc w:val="both"/>
        <w:rPr>
          <w:vertAlign w:val="baseline"/>
        </w:rPr>
      </w:pPr>
      <w:r w:rsidDel="00000000" w:rsidR="00000000" w:rsidRPr="00000000">
        <w:rPr>
          <w:rtl w:val="0"/>
        </w:rPr>
      </w:r>
    </w:p>
    <w:p w:rsidR="00000000" w:rsidDel="00000000" w:rsidP="00000000" w:rsidRDefault="00000000" w:rsidRPr="00000000" w14:paraId="00000029">
      <w:pPr>
        <w:ind w:firstLine="709"/>
        <w:jc w:val="both"/>
        <w:rPr>
          <w:vertAlign w:val="baseline"/>
        </w:rPr>
      </w:pPr>
      <w:r w:rsidDel="00000000" w:rsidR="00000000" w:rsidRPr="00000000">
        <w:rPr>
          <w:i w:val="1"/>
          <w:vertAlign w:val="baseline"/>
          <w:rtl w:val="0"/>
        </w:rPr>
        <w:t xml:space="preserve">e)</w:t>
      </w:r>
      <w:r w:rsidDel="00000000" w:rsidR="00000000" w:rsidRPr="00000000">
        <w:rPr>
          <w:vertAlign w:val="baseline"/>
          <w:rtl w:val="0"/>
        </w:rPr>
        <w:t xml:space="preserve"> Le même A est complété par trois alinéas ainsi rédigés :</w:t>
      </w:r>
    </w:p>
    <w:p w:rsidR="00000000" w:rsidDel="00000000" w:rsidP="00000000" w:rsidRDefault="00000000" w:rsidRPr="00000000" w14:paraId="0000002A">
      <w:pPr>
        <w:ind w:firstLine="709"/>
        <w:jc w:val="both"/>
        <w:rPr>
          <w:vertAlign w:val="baseline"/>
        </w:rPr>
      </w:pPr>
      <w:r w:rsidDel="00000000" w:rsidR="00000000" w:rsidRPr="00000000">
        <w:rPr>
          <w:rtl w:val="0"/>
        </w:rPr>
      </w:r>
    </w:p>
    <w:p w:rsidR="00000000" w:rsidDel="00000000" w:rsidP="00000000" w:rsidRDefault="00000000" w:rsidRPr="00000000" w14:paraId="0000002B">
      <w:pPr>
        <w:ind w:firstLine="709"/>
        <w:jc w:val="both"/>
        <w:rPr>
          <w:vertAlign w:val="baseline"/>
        </w:rPr>
      </w:pPr>
      <w:r w:rsidDel="00000000" w:rsidR="00000000" w:rsidRPr="00000000">
        <w:rPr>
          <w:vertAlign w:val="baseline"/>
          <w:rtl w:val="0"/>
        </w:rPr>
        <w:t xml:space="preserve">« Lorsque le Premier ministre prend les mesures mentionnées aux 1° et 2°, il peut décider de les rendre applicables aux personnes intervenant dans les services de transport, lieux, établissements et évènements concernés.</w:t>
      </w:r>
    </w:p>
    <w:p w:rsidR="00000000" w:rsidDel="00000000" w:rsidP="00000000" w:rsidRDefault="00000000" w:rsidRPr="00000000" w14:paraId="0000002C">
      <w:pPr>
        <w:ind w:firstLine="709"/>
        <w:jc w:val="both"/>
        <w:rPr>
          <w:vertAlign w:val="baseline"/>
        </w:rPr>
      </w:pPr>
      <w:r w:rsidDel="00000000" w:rsidR="00000000" w:rsidRPr="00000000">
        <w:rPr>
          <w:rtl w:val="0"/>
        </w:rPr>
      </w:r>
    </w:p>
    <w:p w:rsidR="00000000" w:rsidDel="00000000" w:rsidP="00000000" w:rsidRDefault="00000000" w:rsidRPr="00000000" w14:paraId="0000002D">
      <w:pPr>
        <w:ind w:firstLine="709"/>
        <w:jc w:val="both"/>
        <w:rPr>
          <w:vertAlign w:val="baseline"/>
        </w:rPr>
      </w:pPr>
      <w:r w:rsidDel="00000000" w:rsidR="00000000" w:rsidRPr="00000000">
        <w:rPr>
          <w:vertAlign w:val="baseline"/>
          <w:rtl w:val="0"/>
        </w:rPr>
        <w:t xml:space="preserve">« A défaut de présenter à leur employeur les documents mentionnés au 1° et 2°, les salariés ne peuvent plus exercer l’activité mentionnée à l’alinéa précédent. Le fait pour un salarié de ne plus pouvoir exercer pendant une période de plus de deux mois en application du présent alinéa justifie son licenciement.</w:t>
      </w:r>
    </w:p>
    <w:p w:rsidR="00000000" w:rsidDel="00000000" w:rsidP="00000000" w:rsidRDefault="00000000" w:rsidRPr="00000000" w14:paraId="0000002E">
      <w:pPr>
        <w:ind w:firstLine="709"/>
        <w:jc w:val="both"/>
        <w:rPr>
          <w:vertAlign w:val="baseline"/>
        </w:rPr>
      </w:pPr>
      <w:r w:rsidDel="00000000" w:rsidR="00000000" w:rsidRPr="00000000">
        <w:rPr>
          <w:rtl w:val="0"/>
        </w:rPr>
      </w:r>
    </w:p>
    <w:p w:rsidR="00000000" w:rsidDel="00000000" w:rsidP="00000000" w:rsidRDefault="00000000" w:rsidRPr="00000000" w14:paraId="0000002F">
      <w:pPr>
        <w:ind w:firstLine="709"/>
        <w:jc w:val="both"/>
        <w:rPr>
          <w:vertAlign w:val="baseline"/>
        </w:rPr>
      </w:pPr>
      <w:r w:rsidDel="00000000" w:rsidR="00000000" w:rsidRPr="00000000">
        <w:rPr>
          <w:vertAlign w:val="baseline"/>
          <w:rtl w:val="0"/>
        </w:rPr>
        <w:t xml:space="preserve">« La méconnaissance des obligations instituées en application du 1° est sanctionnée dans les mêmes conditions que celles prévues à l’article L. 3136-1 du code de la santé publique réprimant la violation des mesures édictées sur le fondement du 1° du I de l'article L. 3131-15 du même code. La méconnaissance des obligations instituées en application du 2° est sanctionnée dans les mêmes conditions que celles prévues à l’article L. 3136-1 du même code réprimant le fait, pour toute personne, de se rendre dans un établissement recevant du public en méconnaissance d’une mesure édictée sur le fondement du 5° du I de l’article L. 3131-15 du même code. » ;</w:t>
      </w:r>
    </w:p>
    <w:p w:rsidR="00000000" w:rsidDel="00000000" w:rsidP="00000000" w:rsidRDefault="00000000" w:rsidRPr="00000000" w14:paraId="00000030">
      <w:pPr>
        <w:ind w:firstLine="709"/>
        <w:jc w:val="both"/>
        <w:rPr>
          <w:vertAlign w:val="baseline"/>
        </w:rPr>
      </w:pPr>
      <w:r w:rsidDel="00000000" w:rsidR="00000000" w:rsidRPr="00000000">
        <w:rPr>
          <w:rtl w:val="0"/>
        </w:rPr>
      </w:r>
    </w:p>
    <w:p w:rsidR="00000000" w:rsidDel="00000000" w:rsidP="00000000" w:rsidRDefault="00000000" w:rsidRPr="00000000" w14:paraId="00000031">
      <w:pPr>
        <w:ind w:firstLine="709"/>
        <w:jc w:val="both"/>
        <w:rPr>
          <w:vertAlign w:val="baseline"/>
        </w:rPr>
      </w:pPr>
      <w:r w:rsidDel="00000000" w:rsidR="00000000" w:rsidRPr="00000000">
        <w:rPr>
          <w:i w:val="1"/>
          <w:vertAlign w:val="baseline"/>
          <w:rtl w:val="0"/>
        </w:rPr>
        <w:t xml:space="preserve">f)</w:t>
      </w:r>
      <w:r w:rsidDel="00000000" w:rsidR="00000000" w:rsidRPr="00000000">
        <w:rPr>
          <w:vertAlign w:val="baseline"/>
          <w:rtl w:val="0"/>
        </w:rPr>
        <w:t xml:space="preserve"> Au second alinéa du B du II, après les mots : « sous une forme », la fin de l’alinéa est ainsi rédigée : « permettant seulement aux personnes habilitées ou aux services autorisés à en assurer le contrôle de connaître les données strictement nécessaires à l’exercice de ce contrôle. » ;</w:t>
      </w:r>
    </w:p>
    <w:p w:rsidR="00000000" w:rsidDel="00000000" w:rsidP="00000000" w:rsidRDefault="00000000" w:rsidRPr="00000000" w14:paraId="00000032">
      <w:pPr>
        <w:ind w:firstLine="709"/>
        <w:jc w:val="both"/>
        <w:rPr>
          <w:vertAlign w:val="baseline"/>
        </w:rPr>
      </w:pPr>
      <w:r w:rsidDel="00000000" w:rsidR="00000000" w:rsidRPr="00000000">
        <w:rPr>
          <w:rtl w:val="0"/>
        </w:rPr>
      </w:r>
    </w:p>
    <w:p w:rsidR="00000000" w:rsidDel="00000000" w:rsidP="00000000" w:rsidRDefault="00000000" w:rsidRPr="00000000" w14:paraId="00000033">
      <w:pPr>
        <w:ind w:firstLine="709"/>
        <w:jc w:val="both"/>
        <w:rPr>
          <w:vertAlign w:val="baseline"/>
        </w:rPr>
      </w:pPr>
      <w:r w:rsidDel="00000000" w:rsidR="00000000" w:rsidRPr="00000000">
        <w:rPr>
          <w:i w:val="1"/>
          <w:vertAlign w:val="baseline"/>
          <w:rtl w:val="0"/>
        </w:rPr>
        <w:t xml:space="preserve">g)</w:t>
      </w:r>
      <w:r w:rsidDel="00000000" w:rsidR="00000000" w:rsidRPr="00000000">
        <w:rPr>
          <w:vertAlign w:val="baseline"/>
          <w:rtl w:val="0"/>
        </w:rPr>
        <w:t xml:space="preserve"> Le C du II est complété par un alinéa ainsi rédigé :</w:t>
      </w:r>
    </w:p>
    <w:p w:rsidR="00000000" w:rsidDel="00000000" w:rsidP="00000000" w:rsidRDefault="00000000" w:rsidRPr="00000000" w14:paraId="00000034">
      <w:pPr>
        <w:ind w:firstLine="709"/>
        <w:jc w:val="both"/>
        <w:rPr>
          <w:vertAlign w:val="baseline"/>
        </w:rPr>
      </w:pPr>
      <w:r w:rsidDel="00000000" w:rsidR="00000000" w:rsidRPr="00000000">
        <w:rPr>
          <w:rtl w:val="0"/>
        </w:rPr>
      </w:r>
    </w:p>
    <w:p w:rsidR="00000000" w:rsidDel="00000000" w:rsidP="00000000" w:rsidRDefault="00000000" w:rsidRPr="00000000" w14:paraId="00000035">
      <w:pPr>
        <w:ind w:firstLine="709"/>
        <w:jc w:val="both"/>
        <w:rPr>
          <w:vertAlign w:val="baseline"/>
        </w:rPr>
      </w:pPr>
      <w:r w:rsidDel="00000000" w:rsidR="00000000" w:rsidRPr="00000000">
        <w:rPr>
          <w:vertAlign w:val="baseline"/>
          <w:rtl w:val="0"/>
        </w:rPr>
        <w:t xml:space="preserve">« Le fait, pour un exploitant d’un lieu ou établissement, le responsable d’un événement ou un exploitant de service de transport, de ne pas contrôler la détention par les personnes qui souhaitent y accéder des documents mentionnés aux 1° et 2° du A est puni d’un an d’emprisonnement et de 45 000 euros d’amende. » ;</w:t>
      </w:r>
    </w:p>
    <w:p w:rsidR="00000000" w:rsidDel="00000000" w:rsidP="00000000" w:rsidRDefault="00000000" w:rsidRPr="00000000" w14:paraId="00000036">
      <w:pPr>
        <w:ind w:firstLine="709"/>
        <w:jc w:val="both"/>
        <w:rPr>
          <w:vertAlign w:val="baseline"/>
        </w:rPr>
      </w:pPr>
      <w:r w:rsidDel="00000000" w:rsidR="00000000" w:rsidRPr="00000000">
        <w:rPr>
          <w:rtl w:val="0"/>
        </w:rPr>
      </w:r>
    </w:p>
    <w:p w:rsidR="00000000" w:rsidDel="00000000" w:rsidP="00000000" w:rsidRDefault="00000000" w:rsidRPr="00000000" w14:paraId="00000037">
      <w:pPr>
        <w:ind w:firstLine="709"/>
        <w:jc w:val="both"/>
        <w:rPr>
          <w:vertAlign w:val="baseline"/>
        </w:rPr>
      </w:pPr>
      <w:r w:rsidDel="00000000" w:rsidR="00000000" w:rsidRPr="00000000">
        <w:rPr>
          <w:vertAlign w:val="baseline"/>
          <w:rtl w:val="0"/>
        </w:rPr>
        <w:t xml:space="preserve">2° L’article 3 est complété par un III ainsi rédigé :</w:t>
      </w:r>
    </w:p>
    <w:p w:rsidR="00000000" w:rsidDel="00000000" w:rsidP="00000000" w:rsidRDefault="00000000" w:rsidRPr="00000000" w14:paraId="00000038">
      <w:pPr>
        <w:ind w:firstLine="709"/>
        <w:jc w:val="both"/>
        <w:rPr>
          <w:vertAlign w:val="baseline"/>
        </w:rPr>
      </w:pPr>
      <w:r w:rsidDel="00000000" w:rsidR="00000000" w:rsidRPr="00000000">
        <w:rPr>
          <w:rtl w:val="0"/>
        </w:rPr>
      </w:r>
    </w:p>
    <w:p w:rsidR="00000000" w:rsidDel="00000000" w:rsidP="00000000" w:rsidRDefault="00000000" w:rsidRPr="00000000" w14:paraId="00000039">
      <w:pPr>
        <w:ind w:firstLine="709"/>
        <w:jc w:val="both"/>
        <w:rPr>
          <w:vertAlign w:val="baseline"/>
        </w:rPr>
      </w:pPr>
      <w:r w:rsidDel="00000000" w:rsidR="00000000" w:rsidRPr="00000000">
        <w:rPr>
          <w:vertAlign w:val="baseline"/>
          <w:rtl w:val="0"/>
        </w:rPr>
        <w:t xml:space="preserve">« III. - L'état d'urgence sanitaire déclaré sur le territoire de La Réunion et de la Martinique par le décret n° 2021-XXXX du 13 juillet 2021 déclarant l'état d'urgence sanitaire dans certains territoires de la République est prorogé jusqu'au 30 septembre 2021 inclus. ».</w:t>
      </w:r>
    </w:p>
    <w:p w:rsidR="00000000" w:rsidDel="00000000" w:rsidP="00000000" w:rsidRDefault="00000000" w:rsidRPr="00000000" w14:paraId="0000003A">
      <w:pPr>
        <w:ind w:firstLine="709"/>
        <w:jc w:val="both"/>
        <w:rPr>
          <w:vertAlign w:val="baseline"/>
        </w:rPr>
      </w:pPr>
      <w:r w:rsidDel="00000000" w:rsidR="00000000" w:rsidRPr="00000000">
        <w:rPr>
          <w:rtl w:val="0"/>
        </w:rPr>
      </w:r>
    </w:p>
    <w:p w:rsidR="00000000" w:rsidDel="00000000" w:rsidP="00000000" w:rsidRDefault="00000000" w:rsidRPr="00000000" w14:paraId="0000003B">
      <w:pPr>
        <w:ind w:firstLine="709"/>
        <w:jc w:val="both"/>
        <w:rPr>
          <w:vertAlign w:val="baseline"/>
        </w:rPr>
      </w:pPr>
      <w:r w:rsidDel="00000000" w:rsidR="00000000" w:rsidRPr="00000000">
        <w:rPr>
          <w:vertAlign w:val="baseline"/>
          <w:rtl w:val="0"/>
        </w:rPr>
        <w:t xml:space="preserve">3° Au premier alinéa de l'article 4, les mots : « Les articles 1er à 3 » sont remplacés par les mots : « L'article 1er dans sa rédaction résultant de la loi n°    du   relative à l’adaptation de nos outils de gestion de la crise sanitaire et les articles 2 et 3 ».</w:t>
      </w:r>
    </w:p>
    <w:p w:rsidR="00000000" w:rsidDel="00000000" w:rsidP="00000000" w:rsidRDefault="00000000" w:rsidRPr="00000000" w14:paraId="0000003C">
      <w:pPr>
        <w:ind w:firstLine="709"/>
        <w:jc w:val="both"/>
        <w:rPr>
          <w:vertAlign w:val="baseline"/>
        </w:rPr>
      </w:pPr>
      <w:r w:rsidDel="00000000" w:rsidR="00000000" w:rsidRPr="00000000">
        <w:rPr>
          <w:rtl w:val="0"/>
        </w:rPr>
      </w:r>
    </w:p>
    <w:p w:rsidR="00000000" w:rsidDel="00000000" w:rsidP="00000000" w:rsidRDefault="00000000" w:rsidRPr="00000000" w14:paraId="0000003D">
      <w:pPr>
        <w:ind w:firstLine="709"/>
        <w:jc w:val="both"/>
        <w:rPr>
          <w:vertAlign w:val="baseline"/>
        </w:rPr>
      </w:pPr>
      <w:r w:rsidDel="00000000" w:rsidR="00000000" w:rsidRPr="00000000">
        <w:rPr>
          <w:vertAlign w:val="baseline"/>
          <w:rtl w:val="0"/>
        </w:rPr>
        <w:t xml:space="preserve">II. – Le présent article s'applique sur l'ensemble du territoire de la République.</w:t>
      </w:r>
    </w:p>
    <w:p w:rsidR="00000000" w:rsidDel="00000000" w:rsidP="00000000" w:rsidRDefault="00000000" w:rsidRPr="00000000" w14:paraId="0000003E">
      <w:pPr>
        <w:ind w:firstLine="709"/>
        <w:jc w:val="both"/>
        <w:rPr>
          <w:vertAlign w:val="baseline"/>
        </w:rPr>
      </w:pPr>
      <w:r w:rsidDel="00000000" w:rsidR="00000000" w:rsidRPr="00000000">
        <w:rPr>
          <w:rtl w:val="0"/>
        </w:rPr>
      </w:r>
    </w:p>
    <w:p w:rsidR="00000000" w:rsidDel="00000000" w:rsidP="00000000" w:rsidRDefault="00000000" w:rsidRPr="00000000" w14:paraId="0000003F">
      <w:pPr>
        <w:ind w:firstLine="709"/>
        <w:jc w:val="both"/>
        <w:rPr>
          <w:vertAlign w:val="baseline"/>
        </w:rPr>
      </w:pPr>
      <w:r w:rsidDel="00000000" w:rsidR="00000000" w:rsidRPr="00000000">
        <w:rPr>
          <w:rtl w:val="0"/>
        </w:rPr>
      </w:r>
    </w:p>
    <w:p w:rsidR="00000000" w:rsidDel="00000000" w:rsidP="00000000" w:rsidRDefault="00000000" w:rsidRPr="00000000" w14:paraId="00000040">
      <w:pPr>
        <w:jc w:val="center"/>
        <w:rPr>
          <w:b w:val="0"/>
          <w:vertAlign w:val="baseline"/>
        </w:rPr>
      </w:pPr>
      <w:r w:rsidDel="00000000" w:rsidR="00000000" w:rsidRPr="00000000">
        <w:rPr>
          <w:b w:val="1"/>
          <w:vertAlign w:val="baseline"/>
          <w:rtl w:val="0"/>
        </w:rPr>
        <w:t xml:space="preserve">Article 2</w:t>
      </w:r>
      <w:r w:rsidDel="00000000" w:rsidR="00000000" w:rsidRPr="00000000">
        <w:rPr>
          <w:rtl w:val="0"/>
        </w:rPr>
      </w:r>
    </w:p>
    <w:p w:rsidR="00000000" w:rsidDel="00000000" w:rsidP="00000000" w:rsidRDefault="00000000" w:rsidRPr="00000000" w14:paraId="00000041">
      <w:pPr>
        <w:ind w:firstLine="709"/>
        <w:jc w:val="center"/>
        <w:rPr>
          <w:b w:val="0"/>
          <w:vertAlign w:val="baseline"/>
        </w:rPr>
      </w:pPr>
      <w:r w:rsidDel="00000000" w:rsidR="00000000" w:rsidRPr="00000000">
        <w:rPr>
          <w:rtl w:val="0"/>
        </w:rPr>
      </w:r>
    </w:p>
    <w:p w:rsidR="00000000" w:rsidDel="00000000" w:rsidP="00000000" w:rsidRDefault="00000000" w:rsidRPr="00000000" w14:paraId="00000042">
      <w:pPr>
        <w:ind w:firstLine="709"/>
        <w:jc w:val="both"/>
        <w:rPr>
          <w:vertAlign w:val="baseline"/>
        </w:rPr>
      </w:pPr>
      <w:r w:rsidDel="00000000" w:rsidR="00000000" w:rsidRPr="00000000">
        <w:rPr>
          <w:vertAlign w:val="baseline"/>
          <w:rtl w:val="0"/>
        </w:rPr>
        <w:t xml:space="preserve">Le code de la santé publique est ainsi modifié :</w:t>
      </w:r>
    </w:p>
    <w:p w:rsidR="00000000" w:rsidDel="00000000" w:rsidP="00000000" w:rsidRDefault="00000000" w:rsidRPr="00000000" w14:paraId="00000043">
      <w:pPr>
        <w:ind w:firstLine="709"/>
        <w:jc w:val="both"/>
        <w:rPr>
          <w:vertAlign w:val="baseline"/>
        </w:rPr>
      </w:pPr>
      <w:r w:rsidDel="00000000" w:rsidR="00000000" w:rsidRPr="00000000">
        <w:rPr>
          <w:rtl w:val="0"/>
        </w:rPr>
      </w:r>
    </w:p>
    <w:p w:rsidR="00000000" w:rsidDel="00000000" w:rsidP="00000000" w:rsidRDefault="00000000" w:rsidRPr="00000000" w14:paraId="00000044">
      <w:pPr>
        <w:ind w:firstLine="709"/>
        <w:jc w:val="both"/>
        <w:rPr>
          <w:vertAlign w:val="baseline"/>
        </w:rPr>
      </w:pPr>
      <w:r w:rsidDel="00000000" w:rsidR="00000000" w:rsidRPr="00000000">
        <w:rPr>
          <w:vertAlign w:val="baseline"/>
          <w:rtl w:val="0"/>
        </w:rPr>
        <w:t xml:space="preserve">1° Le premier alinéa du II de l’article L. 3131-15 est ainsi modifié :</w:t>
      </w:r>
    </w:p>
    <w:p w:rsidR="00000000" w:rsidDel="00000000" w:rsidP="00000000" w:rsidRDefault="00000000" w:rsidRPr="00000000" w14:paraId="00000045">
      <w:pPr>
        <w:ind w:firstLine="709"/>
        <w:jc w:val="both"/>
        <w:rPr>
          <w:vertAlign w:val="baseline"/>
        </w:rPr>
      </w:pPr>
      <w:r w:rsidDel="00000000" w:rsidR="00000000" w:rsidRPr="00000000">
        <w:rPr>
          <w:rtl w:val="0"/>
        </w:rPr>
      </w:r>
    </w:p>
    <w:p w:rsidR="00000000" w:rsidDel="00000000" w:rsidP="00000000" w:rsidRDefault="00000000" w:rsidRPr="00000000" w14:paraId="00000046">
      <w:pPr>
        <w:ind w:firstLine="709"/>
        <w:jc w:val="both"/>
        <w:rPr>
          <w:vertAlign w:val="baseline"/>
        </w:rPr>
      </w:pPr>
      <w:r w:rsidDel="00000000" w:rsidR="00000000" w:rsidRPr="00000000">
        <w:rPr>
          <w:i w:val="1"/>
          <w:vertAlign w:val="baseline"/>
          <w:rtl w:val="0"/>
        </w:rPr>
        <w:t xml:space="preserve">a)</w:t>
      </w:r>
      <w:r w:rsidDel="00000000" w:rsidR="00000000" w:rsidRPr="00000000">
        <w:rPr>
          <w:vertAlign w:val="baseline"/>
          <w:rtl w:val="0"/>
        </w:rPr>
        <w:t xml:space="preserve"> La référence : « aux 3° et 4° du I » est remplacée par la référence : « au 3° du I » ; </w:t>
      </w:r>
    </w:p>
    <w:p w:rsidR="00000000" w:rsidDel="00000000" w:rsidP="00000000" w:rsidRDefault="00000000" w:rsidRPr="00000000" w14:paraId="00000047">
      <w:pPr>
        <w:ind w:firstLine="709"/>
        <w:jc w:val="both"/>
        <w:rPr>
          <w:vertAlign w:val="baseline"/>
        </w:rPr>
      </w:pPr>
      <w:r w:rsidDel="00000000" w:rsidR="00000000" w:rsidRPr="00000000">
        <w:rPr>
          <w:rtl w:val="0"/>
        </w:rPr>
      </w:r>
    </w:p>
    <w:p w:rsidR="00000000" w:rsidDel="00000000" w:rsidP="00000000" w:rsidRDefault="00000000" w:rsidRPr="00000000" w14:paraId="00000048">
      <w:pPr>
        <w:ind w:firstLine="709"/>
        <w:jc w:val="both"/>
        <w:rPr>
          <w:vertAlign w:val="baseline"/>
        </w:rPr>
      </w:pPr>
      <w:r w:rsidDel="00000000" w:rsidR="00000000" w:rsidRPr="00000000">
        <w:rPr>
          <w:i w:val="1"/>
          <w:vertAlign w:val="baseline"/>
          <w:rtl w:val="0"/>
        </w:rPr>
        <w:t xml:space="preserve">b)</w:t>
      </w:r>
      <w:r w:rsidDel="00000000" w:rsidR="00000000" w:rsidRPr="00000000">
        <w:rPr>
          <w:vertAlign w:val="baseline"/>
          <w:rtl w:val="0"/>
        </w:rPr>
        <w:t xml:space="preserve"> Les mots :  « , le placement et le maintien en isolement » sont remplacés par les mots : « des personnes susceptibles d’être affectées » ;</w:t>
      </w:r>
    </w:p>
    <w:p w:rsidR="00000000" w:rsidDel="00000000" w:rsidP="00000000" w:rsidRDefault="00000000" w:rsidRPr="00000000" w14:paraId="00000049">
      <w:pPr>
        <w:ind w:firstLine="709"/>
        <w:jc w:val="both"/>
        <w:rPr>
          <w:vertAlign w:val="baseline"/>
        </w:rPr>
      </w:pPr>
      <w:r w:rsidDel="00000000" w:rsidR="00000000" w:rsidRPr="00000000">
        <w:rPr>
          <w:rtl w:val="0"/>
        </w:rPr>
      </w:r>
    </w:p>
    <w:p w:rsidR="00000000" w:rsidDel="00000000" w:rsidP="00000000" w:rsidRDefault="00000000" w:rsidRPr="00000000" w14:paraId="0000004A">
      <w:pPr>
        <w:ind w:firstLine="709"/>
        <w:jc w:val="both"/>
        <w:rPr>
          <w:vertAlign w:val="baseline"/>
        </w:rPr>
      </w:pPr>
      <w:r w:rsidDel="00000000" w:rsidR="00000000" w:rsidRPr="00000000">
        <w:rPr>
          <w:i w:val="1"/>
          <w:vertAlign w:val="baseline"/>
          <w:rtl w:val="0"/>
        </w:rPr>
        <w:t xml:space="preserve">c)</w:t>
      </w:r>
      <w:r w:rsidDel="00000000" w:rsidR="00000000" w:rsidRPr="00000000">
        <w:rPr>
          <w:vertAlign w:val="baseline"/>
          <w:rtl w:val="0"/>
        </w:rPr>
        <w:t xml:space="preserve"> L’alinéa est complété par une phrase ainsi rédigée : « Les mesures prévues au 4° de ce même I ayant pour objet le placement et le maintien en isolement des personnes affectées ne peuvent viser que des personnes ayant fait l’objet d’un examen de dépistage virologique ou de tout examen médical probant concluant à une contamination. ».</w:t>
      </w:r>
    </w:p>
    <w:p w:rsidR="00000000" w:rsidDel="00000000" w:rsidP="00000000" w:rsidRDefault="00000000" w:rsidRPr="00000000" w14:paraId="0000004B">
      <w:pPr>
        <w:ind w:firstLine="709"/>
        <w:jc w:val="both"/>
        <w:rPr>
          <w:vertAlign w:val="baseline"/>
        </w:rPr>
      </w:pPr>
      <w:r w:rsidDel="00000000" w:rsidR="00000000" w:rsidRPr="00000000">
        <w:rPr>
          <w:rtl w:val="0"/>
        </w:rPr>
      </w:r>
    </w:p>
    <w:p w:rsidR="00000000" w:rsidDel="00000000" w:rsidP="00000000" w:rsidRDefault="00000000" w:rsidRPr="00000000" w14:paraId="0000004C">
      <w:pPr>
        <w:ind w:firstLine="709"/>
        <w:jc w:val="both"/>
        <w:rPr>
          <w:vertAlign w:val="baseline"/>
        </w:rPr>
      </w:pPr>
      <w:r w:rsidDel="00000000" w:rsidR="00000000" w:rsidRPr="00000000">
        <w:rPr>
          <w:vertAlign w:val="baseline"/>
          <w:rtl w:val="0"/>
        </w:rPr>
        <w:t xml:space="preserve">2° Au premier alinéa des articles L. 3821-11 et L. 3841-2, la référence : « n° 2021-689 du 31 mai 2021 relative à la gestion de la sortie de crise sanitaire » est remplacée par la référence : « n°   du   relative à l’adaptation de nos outils de gestion de la crise sanitaire ».</w:t>
      </w:r>
    </w:p>
    <w:p w:rsidR="00000000" w:rsidDel="00000000" w:rsidP="00000000" w:rsidRDefault="00000000" w:rsidRPr="00000000" w14:paraId="0000004D">
      <w:pPr>
        <w:ind w:firstLine="709"/>
        <w:jc w:val="both"/>
        <w:rPr>
          <w:vertAlign w:val="baseline"/>
        </w:rPr>
      </w:pPr>
      <w:r w:rsidDel="00000000" w:rsidR="00000000" w:rsidRPr="00000000">
        <w:rPr>
          <w:rtl w:val="0"/>
        </w:rPr>
      </w:r>
    </w:p>
    <w:p w:rsidR="00000000" w:rsidDel="00000000" w:rsidP="00000000" w:rsidRDefault="00000000" w:rsidRPr="00000000" w14:paraId="0000004E">
      <w:pPr>
        <w:ind w:firstLine="709"/>
        <w:jc w:val="both"/>
        <w:rPr>
          <w:vertAlign w:val="baseline"/>
        </w:rPr>
      </w:pPr>
      <w:r w:rsidDel="00000000" w:rsidR="00000000" w:rsidRPr="00000000">
        <w:rPr>
          <w:rtl w:val="0"/>
        </w:rPr>
      </w:r>
    </w:p>
    <w:p w:rsidR="00000000" w:rsidDel="00000000" w:rsidP="00000000" w:rsidRDefault="00000000" w:rsidRPr="00000000" w14:paraId="0000004F">
      <w:pPr>
        <w:jc w:val="center"/>
        <w:rPr>
          <w:b w:val="0"/>
          <w:vertAlign w:val="baseline"/>
        </w:rPr>
      </w:pPr>
      <w:r w:rsidDel="00000000" w:rsidR="00000000" w:rsidRPr="00000000">
        <w:rPr>
          <w:b w:val="1"/>
          <w:vertAlign w:val="baseline"/>
          <w:rtl w:val="0"/>
        </w:rPr>
        <w:t xml:space="preserve">Article 3</w:t>
      </w:r>
      <w:r w:rsidDel="00000000" w:rsidR="00000000" w:rsidRPr="00000000">
        <w:rPr>
          <w:rtl w:val="0"/>
        </w:rPr>
      </w:r>
    </w:p>
    <w:p w:rsidR="00000000" w:rsidDel="00000000" w:rsidP="00000000" w:rsidRDefault="00000000" w:rsidRPr="00000000" w14:paraId="00000050">
      <w:pPr>
        <w:ind w:firstLine="709"/>
        <w:jc w:val="both"/>
        <w:rPr>
          <w:vertAlign w:val="baseline"/>
        </w:rPr>
      </w:pPr>
      <w:r w:rsidDel="00000000" w:rsidR="00000000" w:rsidRPr="00000000">
        <w:rPr>
          <w:rtl w:val="0"/>
        </w:rPr>
      </w:r>
    </w:p>
    <w:p w:rsidR="00000000" w:rsidDel="00000000" w:rsidP="00000000" w:rsidRDefault="00000000" w:rsidRPr="00000000" w14:paraId="00000051">
      <w:pPr>
        <w:ind w:firstLine="709"/>
        <w:jc w:val="both"/>
        <w:rPr>
          <w:vertAlign w:val="baseline"/>
        </w:rPr>
      </w:pPr>
      <w:r w:rsidDel="00000000" w:rsidR="00000000" w:rsidRPr="00000000">
        <w:rPr>
          <w:vertAlign w:val="baseline"/>
          <w:rtl w:val="0"/>
        </w:rPr>
        <w:t xml:space="preserve">L’article 11 de la loi n° 2020-546 du 11 mai 2020 prorogeant l'état d'urgence sanitaire et complétant ses dispositions est ainsi modifié :</w:t>
      </w:r>
    </w:p>
    <w:p w:rsidR="00000000" w:rsidDel="00000000" w:rsidP="00000000" w:rsidRDefault="00000000" w:rsidRPr="00000000" w14:paraId="00000052">
      <w:pPr>
        <w:ind w:firstLine="709"/>
        <w:jc w:val="both"/>
        <w:rPr>
          <w:vertAlign w:val="baseline"/>
        </w:rPr>
      </w:pPr>
      <w:r w:rsidDel="00000000" w:rsidR="00000000" w:rsidRPr="00000000">
        <w:rPr>
          <w:rtl w:val="0"/>
        </w:rPr>
      </w:r>
    </w:p>
    <w:p w:rsidR="00000000" w:rsidDel="00000000" w:rsidP="00000000" w:rsidRDefault="00000000" w:rsidRPr="00000000" w14:paraId="00000053">
      <w:pPr>
        <w:ind w:firstLine="709"/>
        <w:jc w:val="both"/>
        <w:rPr>
          <w:vertAlign w:val="baseline"/>
        </w:rPr>
      </w:pPr>
      <w:r w:rsidDel="00000000" w:rsidR="00000000" w:rsidRPr="00000000">
        <w:rPr>
          <w:vertAlign w:val="baseline"/>
          <w:rtl w:val="0"/>
        </w:rPr>
        <w:t xml:space="preserve">1° Après le 5° du II, est inséré un 6° ainsi rédigé :</w:t>
      </w:r>
    </w:p>
    <w:p w:rsidR="00000000" w:rsidDel="00000000" w:rsidP="00000000" w:rsidRDefault="00000000" w:rsidRPr="00000000" w14:paraId="00000054">
      <w:pPr>
        <w:ind w:firstLine="709"/>
        <w:jc w:val="both"/>
        <w:rPr>
          <w:vertAlign w:val="baseline"/>
        </w:rPr>
      </w:pPr>
      <w:r w:rsidDel="00000000" w:rsidR="00000000" w:rsidRPr="00000000">
        <w:rPr>
          <w:rtl w:val="0"/>
        </w:rPr>
      </w:r>
    </w:p>
    <w:p w:rsidR="00000000" w:rsidDel="00000000" w:rsidP="00000000" w:rsidRDefault="00000000" w:rsidRPr="00000000" w14:paraId="00000055">
      <w:pPr>
        <w:ind w:firstLine="709"/>
        <w:jc w:val="both"/>
        <w:rPr>
          <w:vertAlign w:val="baseline"/>
        </w:rPr>
      </w:pPr>
      <w:r w:rsidDel="00000000" w:rsidR="00000000" w:rsidRPr="00000000">
        <w:rPr>
          <w:vertAlign w:val="baseline"/>
          <w:rtl w:val="0"/>
        </w:rPr>
        <w:t xml:space="preserve">« 6° L’édiction, le suivi et le contrôle du respect des mesures individuelles mentionnées au II de l’article L. 3131-17 du code de la santé publique ainsi qu’à l’article 4 de la loi n°   du     relative à l’adaptation de nos outils de gestion de la crise sanitaire. » ;</w:t>
      </w:r>
    </w:p>
    <w:p w:rsidR="00000000" w:rsidDel="00000000" w:rsidP="00000000" w:rsidRDefault="00000000" w:rsidRPr="00000000" w14:paraId="00000056">
      <w:pPr>
        <w:ind w:firstLine="709"/>
        <w:jc w:val="both"/>
        <w:rPr>
          <w:vertAlign w:val="baseline"/>
        </w:rPr>
      </w:pPr>
      <w:r w:rsidDel="00000000" w:rsidR="00000000" w:rsidRPr="00000000">
        <w:rPr>
          <w:rtl w:val="0"/>
        </w:rPr>
      </w:r>
    </w:p>
    <w:p w:rsidR="00000000" w:rsidDel="00000000" w:rsidP="00000000" w:rsidRDefault="00000000" w:rsidRPr="00000000" w14:paraId="00000057">
      <w:pPr>
        <w:ind w:firstLine="709"/>
        <w:jc w:val="both"/>
        <w:rPr>
          <w:vertAlign w:val="baseline"/>
        </w:rPr>
      </w:pPr>
      <w:r w:rsidDel="00000000" w:rsidR="00000000" w:rsidRPr="00000000">
        <w:rPr>
          <w:vertAlign w:val="baseline"/>
          <w:rtl w:val="0"/>
        </w:rPr>
        <w:t xml:space="preserve">2° Après la deuxième phrase du III, est insérée une phrase ainsi rédigée : « Les services préfectoraux, les agents de contrôle mentionnés à l’article L. 3136-1 du code de la santé publique et les agents mentionnés à l'article 20 du code de procédure pénale peuvent également recevoir les données strictement nécessaires à l’exercice de leurs missions d’édiction, de suivi et de contrôle du respect des mesures mentionnées au II de l’article L. 3131-17 du code de la santé publique et à l’article 4 de la loi n°     du    relative à l’adaptation de nos outils de gestion de la crise sanitaire. ».</w:t>
      </w:r>
    </w:p>
    <w:p w:rsidR="00000000" w:rsidDel="00000000" w:rsidP="00000000" w:rsidRDefault="00000000" w:rsidRPr="00000000" w14:paraId="00000058">
      <w:pPr>
        <w:ind w:firstLine="709"/>
        <w:jc w:val="both"/>
        <w:rPr>
          <w:vertAlign w:val="baseline"/>
        </w:rPr>
      </w:pPr>
      <w:r w:rsidDel="00000000" w:rsidR="00000000" w:rsidRPr="00000000">
        <w:rPr>
          <w:rtl w:val="0"/>
        </w:rPr>
      </w:r>
    </w:p>
    <w:p w:rsidR="00000000" w:rsidDel="00000000" w:rsidP="00000000" w:rsidRDefault="00000000" w:rsidRPr="00000000" w14:paraId="00000059">
      <w:pPr>
        <w:ind w:firstLine="709"/>
        <w:jc w:val="both"/>
        <w:rPr>
          <w:vertAlign w:val="baseline"/>
        </w:rPr>
      </w:pPr>
      <w:r w:rsidDel="00000000" w:rsidR="00000000" w:rsidRPr="00000000">
        <w:rPr>
          <w:rtl w:val="0"/>
        </w:rPr>
      </w:r>
    </w:p>
    <w:p w:rsidR="00000000" w:rsidDel="00000000" w:rsidP="00000000" w:rsidRDefault="00000000" w:rsidRPr="00000000" w14:paraId="0000005A">
      <w:pPr>
        <w:jc w:val="center"/>
        <w:rPr>
          <w:b w:val="0"/>
          <w:vertAlign w:val="baseline"/>
        </w:rPr>
      </w:pPr>
      <w:r w:rsidDel="00000000" w:rsidR="00000000" w:rsidRPr="00000000">
        <w:rPr>
          <w:b w:val="1"/>
          <w:vertAlign w:val="baseline"/>
          <w:rtl w:val="0"/>
        </w:rPr>
        <w:t xml:space="preserve">Article 4</w:t>
      </w:r>
      <w:r w:rsidDel="00000000" w:rsidR="00000000" w:rsidRPr="00000000">
        <w:rPr>
          <w:rtl w:val="0"/>
        </w:rPr>
      </w:r>
    </w:p>
    <w:p w:rsidR="00000000" w:rsidDel="00000000" w:rsidP="00000000" w:rsidRDefault="00000000" w:rsidRPr="00000000" w14:paraId="0000005B">
      <w:pPr>
        <w:jc w:val="both"/>
        <w:rPr>
          <w:vertAlign w:val="baseline"/>
        </w:rPr>
      </w:pPr>
      <w:r w:rsidDel="00000000" w:rsidR="00000000" w:rsidRPr="00000000">
        <w:rPr>
          <w:rtl w:val="0"/>
        </w:rPr>
      </w:r>
    </w:p>
    <w:p w:rsidR="00000000" w:rsidDel="00000000" w:rsidP="00000000" w:rsidRDefault="00000000" w:rsidRPr="00000000" w14:paraId="0000005C">
      <w:pPr>
        <w:jc w:val="both"/>
        <w:rPr>
          <w:vertAlign w:val="baseline"/>
        </w:rPr>
      </w:pPr>
      <w:r w:rsidDel="00000000" w:rsidR="00000000" w:rsidRPr="00000000">
        <w:rPr>
          <w:vertAlign w:val="baseline"/>
          <w:rtl w:val="0"/>
        </w:rPr>
        <w:tab/>
        <w:t xml:space="preserve">I. – La communication à l’intéressé du résultat d'un examen de dépistage virologique ou de tout examen médical probant concluant à une contamination par la covid-19 emporte, de plein droit, la mesure de placement et de maintien en isolement mentionnée à l’article L.3131-17 du code de la santé publique pour une durée de dix jours dans le lieu d’hébergement qu’il a déclaré lors de l’examen. Cette communication est adressée également, selon le cas, au titulaire de l'exercice de l'autorité parentale, au tuteur ou à la personne chargée de la mesure de protection. Cette communication, qui peut être assurée par voie électronique, mentionne :</w:t>
      </w:r>
    </w:p>
    <w:p w:rsidR="00000000" w:rsidDel="00000000" w:rsidP="00000000" w:rsidRDefault="00000000" w:rsidRPr="00000000" w14:paraId="0000005D">
      <w:pPr>
        <w:jc w:val="both"/>
        <w:rPr>
          <w:vertAlign w:val="baseline"/>
        </w:rPr>
      </w:pPr>
      <w:r w:rsidDel="00000000" w:rsidR="00000000" w:rsidRPr="00000000">
        <w:rPr>
          <w:rtl w:val="0"/>
        </w:rPr>
      </w:r>
    </w:p>
    <w:p w:rsidR="00000000" w:rsidDel="00000000" w:rsidP="00000000" w:rsidRDefault="00000000" w:rsidRPr="00000000" w14:paraId="0000005E">
      <w:pPr>
        <w:ind w:firstLine="708"/>
        <w:jc w:val="both"/>
        <w:rPr>
          <w:vertAlign w:val="baseline"/>
        </w:rPr>
      </w:pPr>
      <w:r w:rsidDel="00000000" w:rsidR="00000000" w:rsidRPr="00000000">
        <w:rPr>
          <w:vertAlign w:val="baseline"/>
          <w:rtl w:val="0"/>
        </w:rPr>
        <w:t xml:space="preserve">1° L’interdiction de sortie, sauf entre 10 heures et 12 heures ;</w:t>
      </w:r>
    </w:p>
    <w:p w:rsidR="00000000" w:rsidDel="00000000" w:rsidP="00000000" w:rsidRDefault="00000000" w:rsidRPr="00000000" w14:paraId="0000005F">
      <w:pPr>
        <w:jc w:val="both"/>
        <w:rPr>
          <w:vertAlign w:val="baseline"/>
        </w:rPr>
      </w:pPr>
      <w:r w:rsidDel="00000000" w:rsidR="00000000" w:rsidRPr="00000000">
        <w:rPr>
          <w:rtl w:val="0"/>
        </w:rPr>
      </w:r>
    </w:p>
    <w:p w:rsidR="00000000" w:rsidDel="00000000" w:rsidP="00000000" w:rsidRDefault="00000000" w:rsidRPr="00000000" w14:paraId="00000060">
      <w:pPr>
        <w:ind w:firstLine="708"/>
        <w:jc w:val="both"/>
        <w:rPr>
          <w:vertAlign w:val="baseline"/>
        </w:rPr>
      </w:pPr>
      <w:r w:rsidDel="00000000" w:rsidR="00000000" w:rsidRPr="00000000">
        <w:rPr>
          <w:vertAlign w:val="baseline"/>
          <w:rtl w:val="0"/>
        </w:rPr>
        <w:t xml:space="preserve">2° Les conditions permettant la poursuite de la vie familiale ;</w:t>
      </w:r>
    </w:p>
    <w:p w:rsidR="00000000" w:rsidDel="00000000" w:rsidP="00000000" w:rsidRDefault="00000000" w:rsidRPr="00000000" w14:paraId="00000061">
      <w:pPr>
        <w:jc w:val="both"/>
        <w:rPr>
          <w:vertAlign w:val="baseline"/>
        </w:rPr>
      </w:pPr>
      <w:r w:rsidDel="00000000" w:rsidR="00000000" w:rsidRPr="00000000">
        <w:rPr>
          <w:rtl w:val="0"/>
        </w:rPr>
      </w:r>
    </w:p>
    <w:p w:rsidR="00000000" w:rsidDel="00000000" w:rsidP="00000000" w:rsidRDefault="00000000" w:rsidRPr="00000000" w14:paraId="00000062">
      <w:pPr>
        <w:ind w:firstLine="708"/>
        <w:jc w:val="both"/>
        <w:rPr>
          <w:vertAlign w:val="baseline"/>
        </w:rPr>
      </w:pPr>
      <w:r w:rsidDel="00000000" w:rsidR="00000000" w:rsidRPr="00000000">
        <w:rPr>
          <w:vertAlign w:val="baseline"/>
          <w:rtl w:val="0"/>
        </w:rPr>
        <w:t xml:space="preserve">3° Les adaptations nécessaires, le cas échéant, à la situation particulière des mineurs ;</w:t>
      </w:r>
    </w:p>
    <w:p w:rsidR="00000000" w:rsidDel="00000000" w:rsidP="00000000" w:rsidRDefault="00000000" w:rsidRPr="00000000" w14:paraId="00000063">
      <w:pPr>
        <w:jc w:val="both"/>
        <w:rPr>
          <w:vertAlign w:val="baseline"/>
        </w:rPr>
      </w:pPr>
      <w:r w:rsidDel="00000000" w:rsidR="00000000" w:rsidRPr="00000000">
        <w:rPr>
          <w:rtl w:val="0"/>
        </w:rPr>
      </w:r>
    </w:p>
    <w:p w:rsidR="00000000" w:rsidDel="00000000" w:rsidP="00000000" w:rsidRDefault="00000000" w:rsidRPr="00000000" w14:paraId="00000064">
      <w:pPr>
        <w:ind w:firstLine="708"/>
        <w:jc w:val="both"/>
        <w:rPr>
          <w:vertAlign w:val="baseline"/>
        </w:rPr>
      </w:pPr>
      <w:r w:rsidDel="00000000" w:rsidR="00000000" w:rsidRPr="00000000">
        <w:rPr>
          <w:vertAlign w:val="baseline"/>
          <w:rtl w:val="0"/>
        </w:rPr>
        <w:t xml:space="preserve">4° Les conditions dans lesquelles le représentant de l’État peut être saisi afin de prescrire sans délai les mesures de nature à garantir la sécurité de l’intéressé lorsque ce dernier est victime ou allègue être victime des violences mentionnées à l'article 515-9 du code civil ;</w:t>
      </w:r>
    </w:p>
    <w:p w:rsidR="00000000" w:rsidDel="00000000" w:rsidP="00000000" w:rsidRDefault="00000000" w:rsidRPr="00000000" w14:paraId="00000065">
      <w:pPr>
        <w:jc w:val="both"/>
        <w:rPr>
          <w:vertAlign w:val="baseline"/>
        </w:rPr>
      </w:pPr>
      <w:r w:rsidDel="00000000" w:rsidR="00000000" w:rsidRPr="00000000">
        <w:rPr>
          <w:rtl w:val="0"/>
        </w:rPr>
      </w:r>
    </w:p>
    <w:p w:rsidR="00000000" w:rsidDel="00000000" w:rsidP="00000000" w:rsidRDefault="00000000" w:rsidRPr="00000000" w14:paraId="00000066">
      <w:pPr>
        <w:ind w:firstLine="708"/>
        <w:jc w:val="both"/>
        <w:rPr>
          <w:vertAlign w:val="baseline"/>
        </w:rPr>
      </w:pPr>
      <w:r w:rsidDel="00000000" w:rsidR="00000000" w:rsidRPr="00000000">
        <w:rPr>
          <w:vertAlign w:val="baseline"/>
          <w:rtl w:val="0"/>
        </w:rPr>
        <w:t xml:space="preserve">5° Les voies et délais de recours, notamment les modalités de la saisine du juge des libertés et de la détention à laquelle le deuxième alinéa du II de l’article L. 3131-17 du code de la santé publique est applicable. ».</w:t>
      </w:r>
    </w:p>
    <w:p w:rsidR="00000000" w:rsidDel="00000000" w:rsidP="00000000" w:rsidRDefault="00000000" w:rsidRPr="00000000" w14:paraId="00000067">
      <w:pPr>
        <w:ind w:firstLine="708"/>
        <w:jc w:val="both"/>
        <w:rPr>
          <w:vertAlign w:val="baseline"/>
        </w:rPr>
      </w:pPr>
      <w:r w:rsidDel="00000000" w:rsidR="00000000" w:rsidRPr="00000000">
        <w:rPr>
          <w:rtl w:val="0"/>
        </w:rPr>
      </w:r>
    </w:p>
    <w:p w:rsidR="00000000" w:rsidDel="00000000" w:rsidP="00000000" w:rsidRDefault="00000000" w:rsidRPr="00000000" w14:paraId="00000068">
      <w:pPr>
        <w:ind w:firstLine="708"/>
        <w:jc w:val="both"/>
        <w:rPr>
          <w:vertAlign w:val="baseline"/>
        </w:rPr>
      </w:pPr>
      <w:r w:rsidDel="00000000" w:rsidR="00000000" w:rsidRPr="00000000">
        <w:rPr>
          <w:vertAlign w:val="baseline"/>
          <w:rtl w:val="0"/>
        </w:rPr>
        <w:t xml:space="preserve">II. – Le présent article est applicable sur l’ensemble du territoire de la République.</w:t>
      </w:r>
    </w:p>
    <w:p w:rsidR="00000000" w:rsidDel="00000000" w:rsidP="00000000" w:rsidRDefault="00000000" w:rsidRPr="00000000" w14:paraId="00000069">
      <w:pPr>
        <w:ind w:firstLine="708"/>
        <w:jc w:val="both"/>
        <w:rPr>
          <w:vertAlign w:val="baseline"/>
        </w:rPr>
      </w:pPr>
      <w:r w:rsidDel="00000000" w:rsidR="00000000" w:rsidRPr="00000000">
        <w:rPr>
          <w:rtl w:val="0"/>
        </w:rPr>
      </w:r>
    </w:p>
    <w:p w:rsidR="00000000" w:rsidDel="00000000" w:rsidP="00000000" w:rsidRDefault="00000000" w:rsidRPr="00000000" w14:paraId="0000006A">
      <w:pPr>
        <w:ind w:firstLine="708"/>
        <w:jc w:val="both"/>
        <w:rPr>
          <w:vertAlign w:val="baseline"/>
        </w:rPr>
      </w:pPr>
      <w:r w:rsidDel="00000000" w:rsidR="00000000" w:rsidRPr="00000000">
        <w:rPr>
          <w:rtl w:val="0"/>
        </w:rPr>
      </w:r>
    </w:p>
    <w:p w:rsidR="00000000" w:rsidDel="00000000" w:rsidP="00000000" w:rsidRDefault="00000000" w:rsidRPr="00000000" w14:paraId="0000006B">
      <w:pPr>
        <w:jc w:val="center"/>
        <w:rPr>
          <w:b w:val="0"/>
          <w:vertAlign w:val="baseline"/>
        </w:rPr>
      </w:pPr>
      <w:r w:rsidDel="00000000" w:rsidR="00000000" w:rsidRPr="00000000">
        <w:rPr>
          <w:b w:val="1"/>
          <w:vertAlign w:val="baseline"/>
          <w:rtl w:val="0"/>
        </w:rPr>
        <w:t xml:space="preserve">Article 5</w:t>
      </w:r>
      <w:r w:rsidDel="00000000" w:rsidR="00000000" w:rsidRPr="00000000">
        <w:rPr>
          <w:rtl w:val="0"/>
        </w:rPr>
      </w:r>
    </w:p>
    <w:p w:rsidR="00000000" w:rsidDel="00000000" w:rsidP="00000000" w:rsidRDefault="00000000" w:rsidRPr="00000000" w14:paraId="0000006C">
      <w:pPr>
        <w:jc w:val="both"/>
        <w:rPr>
          <w:vertAlign w:val="baseline"/>
        </w:rPr>
      </w:pPr>
      <w:r w:rsidDel="00000000" w:rsidR="00000000" w:rsidRPr="00000000">
        <w:rPr>
          <w:rtl w:val="0"/>
        </w:rPr>
      </w:r>
    </w:p>
    <w:p w:rsidR="00000000" w:rsidDel="00000000" w:rsidP="00000000" w:rsidRDefault="00000000" w:rsidRPr="00000000" w14:paraId="0000006D">
      <w:pPr>
        <w:ind w:firstLine="708"/>
        <w:jc w:val="both"/>
        <w:rPr>
          <w:vertAlign w:val="baseline"/>
        </w:rPr>
      </w:pPr>
      <w:r w:rsidDel="00000000" w:rsidR="00000000" w:rsidRPr="00000000">
        <w:rPr>
          <w:vertAlign w:val="baseline"/>
          <w:rtl w:val="0"/>
        </w:rPr>
        <w:t xml:space="preserve">I. – Doivent être immunisés contre la covid-19 :</w:t>
      </w:r>
    </w:p>
    <w:p w:rsidR="00000000" w:rsidDel="00000000" w:rsidP="00000000" w:rsidRDefault="00000000" w:rsidRPr="00000000" w14:paraId="0000006E">
      <w:pPr>
        <w:jc w:val="both"/>
        <w:rPr>
          <w:vertAlign w:val="baseline"/>
        </w:rPr>
      </w:pPr>
      <w:r w:rsidDel="00000000" w:rsidR="00000000" w:rsidRPr="00000000">
        <w:rPr>
          <w:rtl w:val="0"/>
        </w:rPr>
      </w:r>
    </w:p>
    <w:p w:rsidR="00000000" w:rsidDel="00000000" w:rsidP="00000000" w:rsidRDefault="00000000" w:rsidRPr="00000000" w14:paraId="0000006F">
      <w:pPr>
        <w:ind w:firstLine="708"/>
        <w:jc w:val="both"/>
        <w:rPr>
          <w:vertAlign w:val="baseline"/>
        </w:rPr>
      </w:pPr>
      <w:r w:rsidDel="00000000" w:rsidR="00000000" w:rsidRPr="00000000">
        <w:rPr>
          <w:vertAlign w:val="baseline"/>
          <w:rtl w:val="0"/>
        </w:rPr>
        <w:t xml:space="preserve">1° Les personnes exerçant leur activité dans :</w:t>
      </w:r>
    </w:p>
    <w:p w:rsidR="00000000" w:rsidDel="00000000" w:rsidP="00000000" w:rsidRDefault="00000000" w:rsidRPr="00000000" w14:paraId="00000070">
      <w:pPr>
        <w:ind w:firstLine="708"/>
        <w:jc w:val="both"/>
        <w:rPr>
          <w:vertAlign w:val="baseline"/>
        </w:rPr>
      </w:pPr>
      <w:r w:rsidDel="00000000" w:rsidR="00000000" w:rsidRPr="00000000">
        <w:rPr>
          <w:rtl w:val="0"/>
        </w:rPr>
      </w:r>
    </w:p>
    <w:p w:rsidR="00000000" w:rsidDel="00000000" w:rsidP="00000000" w:rsidRDefault="00000000" w:rsidRPr="00000000" w14:paraId="00000071">
      <w:pPr>
        <w:ind w:firstLine="708"/>
        <w:jc w:val="both"/>
        <w:rPr>
          <w:vertAlign w:val="baseline"/>
        </w:rPr>
      </w:pPr>
      <w:r w:rsidDel="00000000" w:rsidR="00000000" w:rsidRPr="00000000">
        <w:rPr>
          <w:vertAlign w:val="baseline"/>
          <w:rtl w:val="0"/>
        </w:rPr>
        <w:t xml:space="preserve">a) Les établissements de santé mentionnés à l’article L. 6111-1 de la santé publique ;</w:t>
      </w:r>
    </w:p>
    <w:p w:rsidR="00000000" w:rsidDel="00000000" w:rsidP="00000000" w:rsidRDefault="00000000" w:rsidRPr="00000000" w14:paraId="00000072">
      <w:pPr>
        <w:ind w:firstLine="708"/>
        <w:jc w:val="both"/>
        <w:rPr>
          <w:vertAlign w:val="baseline"/>
        </w:rPr>
      </w:pPr>
      <w:r w:rsidDel="00000000" w:rsidR="00000000" w:rsidRPr="00000000">
        <w:rPr>
          <w:rtl w:val="0"/>
        </w:rPr>
      </w:r>
    </w:p>
    <w:p w:rsidR="00000000" w:rsidDel="00000000" w:rsidP="00000000" w:rsidRDefault="00000000" w:rsidRPr="00000000" w14:paraId="00000073">
      <w:pPr>
        <w:ind w:firstLine="708"/>
        <w:jc w:val="both"/>
        <w:rPr>
          <w:vertAlign w:val="baseline"/>
        </w:rPr>
      </w:pPr>
      <w:r w:rsidDel="00000000" w:rsidR="00000000" w:rsidRPr="00000000">
        <w:rPr>
          <w:vertAlign w:val="baseline"/>
          <w:rtl w:val="0"/>
        </w:rPr>
        <w:t xml:space="preserve">b) Les centres de santé mentionnés à l’article L. 6323-1 du même code ;</w:t>
      </w:r>
    </w:p>
    <w:p w:rsidR="00000000" w:rsidDel="00000000" w:rsidP="00000000" w:rsidRDefault="00000000" w:rsidRPr="00000000" w14:paraId="00000074">
      <w:pPr>
        <w:ind w:firstLine="708"/>
        <w:jc w:val="both"/>
        <w:rPr>
          <w:vertAlign w:val="baseline"/>
        </w:rPr>
      </w:pPr>
      <w:r w:rsidDel="00000000" w:rsidR="00000000" w:rsidRPr="00000000">
        <w:rPr>
          <w:rtl w:val="0"/>
        </w:rPr>
      </w:r>
    </w:p>
    <w:p w:rsidR="00000000" w:rsidDel="00000000" w:rsidP="00000000" w:rsidRDefault="00000000" w:rsidRPr="00000000" w14:paraId="00000075">
      <w:pPr>
        <w:ind w:firstLine="708"/>
        <w:jc w:val="both"/>
        <w:rPr>
          <w:vertAlign w:val="baseline"/>
        </w:rPr>
      </w:pPr>
      <w:r w:rsidDel="00000000" w:rsidR="00000000" w:rsidRPr="00000000">
        <w:rPr>
          <w:vertAlign w:val="baseline"/>
          <w:rtl w:val="0"/>
        </w:rPr>
        <w:t xml:space="preserve">c) Les maisons de santé mentionnées à l’article L. 6323-3 du même code ;</w:t>
      </w:r>
    </w:p>
    <w:p w:rsidR="00000000" w:rsidDel="00000000" w:rsidP="00000000" w:rsidRDefault="00000000" w:rsidRPr="00000000" w14:paraId="00000076">
      <w:pPr>
        <w:ind w:firstLine="708"/>
        <w:jc w:val="both"/>
        <w:rPr>
          <w:vertAlign w:val="baseline"/>
        </w:rPr>
      </w:pPr>
      <w:r w:rsidDel="00000000" w:rsidR="00000000" w:rsidRPr="00000000">
        <w:rPr>
          <w:rtl w:val="0"/>
        </w:rPr>
      </w:r>
    </w:p>
    <w:p w:rsidR="00000000" w:rsidDel="00000000" w:rsidP="00000000" w:rsidRDefault="00000000" w:rsidRPr="00000000" w14:paraId="00000077">
      <w:pPr>
        <w:ind w:firstLine="708"/>
        <w:jc w:val="both"/>
        <w:rPr>
          <w:vertAlign w:val="baseline"/>
        </w:rPr>
      </w:pPr>
      <w:r w:rsidDel="00000000" w:rsidR="00000000" w:rsidRPr="00000000">
        <w:rPr>
          <w:vertAlign w:val="baseline"/>
          <w:rtl w:val="0"/>
        </w:rPr>
        <w:t xml:space="preserve">d) Les centres et équipes mobiles de soins mentionnés à l’article L. 6325-1 du même code ainsi que les centres médicaux et équipes de soins mobiles du service de santé des armées mentionnés à l'article L. 6326-1 du même code ;</w:t>
      </w:r>
    </w:p>
    <w:p w:rsidR="00000000" w:rsidDel="00000000" w:rsidP="00000000" w:rsidRDefault="00000000" w:rsidRPr="00000000" w14:paraId="00000078">
      <w:pPr>
        <w:ind w:firstLine="708"/>
        <w:jc w:val="both"/>
        <w:rPr>
          <w:vertAlign w:val="baseline"/>
        </w:rPr>
      </w:pPr>
      <w:r w:rsidDel="00000000" w:rsidR="00000000" w:rsidRPr="00000000">
        <w:rPr>
          <w:rtl w:val="0"/>
        </w:rPr>
      </w:r>
    </w:p>
    <w:p w:rsidR="00000000" w:rsidDel="00000000" w:rsidP="00000000" w:rsidRDefault="00000000" w:rsidRPr="00000000" w14:paraId="00000079">
      <w:pPr>
        <w:ind w:firstLine="708"/>
        <w:jc w:val="both"/>
        <w:rPr>
          <w:vertAlign w:val="baseline"/>
        </w:rPr>
      </w:pPr>
      <w:r w:rsidDel="00000000" w:rsidR="00000000" w:rsidRPr="00000000">
        <w:rPr>
          <w:vertAlign w:val="baseline"/>
          <w:rtl w:val="0"/>
        </w:rPr>
        <w:t xml:space="preserve">e) Les services de santé mentionnés aux articles L. 541-1 et L. 831-1 du code de l’éducation ;</w:t>
      </w:r>
    </w:p>
    <w:p w:rsidR="00000000" w:rsidDel="00000000" w:rsidP="00000000" w:rsidRDefault="00000000" w:rsidRPr="00000000" w14:paraId="0000007A">
      <w:pPr>
        <w:ind w:firstLine="708"/>
        <w:jc w:val="both"/>
        <w:rPr>
          <w:vertAlign w:val="baseline"/>
        </w:rPr>
      </w:pPr>
      <w:r w:rsidDel="00000000" w:rsidR="00000000" w:rsidRPr="00000000">
        <w:rPr>
          <w:rtl w:val="0"/>
        </w:rPr>
      </w:r>
    </w:p>
    <w:p w:rsidR="00000000" w:rsidDel="00000000" w:rsidP="00000000" w:rsidRDefault="00000000" w:rsidRPr="00000000" w14:paraId="0000007B">
      <w:pPr>
        <w:ind w:firstLine="708"/>
        <w:jc w:val="both"/>
        <w:rPr>
          <w:vertAlign w:val="baseline"/>
        </w:rPr>
      </w:pPr>
      <w:r w:rsidDel="00000000" w:rsidR="00000000" w:rsidRPr="00000000">
        <w:rPr>
          <w:vertAlign w:val="baseline"/>
          <w:rtl w:val="0"/>
        </w:rPr>
        <w:t xml:space="preserve">f) Les services de santé au travail mentionnés à l’article L. 4622-1 du code du travail ;</w:t>
      </w:r>
    </w:p>
    <w:p w:rsidR="00000000" w:rsidDel="00000000" w:rsidP="00000000" w:rsidRDefault="00000000" w:rsidRPr="00000000" w14:paraId="0000007C">
      <w:pPr>
        <w:ind w:firstLine="708"/>
        <w:jc w:val="both"/>
        <w:rPr>
          <w:vertAlign w:val="baseline"/>
        </w:rPr>
      </w:pPr>
      <w:r w:rsidDel="00000000" w:rsidR="00000000" w:rsidRPr="00000000">
        <w:rPr>
          <w:rtl w:val="0"/>
        </w:rPr>
      </w:r>
    </w:p>
    <w:p w:rsidR="00000000" w:rsidDel="00000000" w:rsidP="00000000" w:rsidRDefault="00000000" w:rsidRPr="00000000" w14:paraId="0000007D">
      <w:pPr>
        <w:ind w:firstLine="708"/>
        <w:jc w:val="both"/>
        <w:rPr>
          <w:vertAlign w:val="baseline"/>
        </w:rPr>
      </w:pPr>
      <w:r w:rsidDel="00000000" w:rsidR="00000000" w:rsidRPr="00000000">
        <w:rPr>
          <w:vertAlign w:val="baseline"/>
          <w:rtl w:val="0"/>
        </w:rPr>
        <w:t xml:space="preserve">g) Les établissements et services médico-sociaux mentionnés aux 2°, 3°, 5°, 6°, 7°, 9° et 12° de l’article L. 312-1 du code de l’action sociale et des familles ;</w:t>
      </w:r>
    </w:p>
    <w:p w:rsidR="00000000" w:rsidDel="00000000" w:rsidP="00000000" w:rsidRDefault="00000000" w:rsidRPr="00000000" w14:paraId="0000007E">
      <w:pPr>
        <w:ind w:firstLine="708"/>
        <w:jc w:val="both"/>
        <w:rPr>
          <w:vertAlign w:val="baseline"/>
        </w:rPr>
      </w:pPr>
      <w:r w:rsidDel="00000000" w:rsidR="00000000" w:rsidRPr="00000000">
        <w:rPr>
          <w:rtl w:val="0"/>
        </w:rPr>
      </w:r>
    </w:p>
    <w:p w:rsidR="00000000" w:rsidDel="00000000" w:rsidP="00000000" w:rsidRDefault="00000000" w:rsidRPr="00000000" w14:paraId="0000007F">
      <w:pPr>
        <w:ind w:firstLine="708"/>
        <w:jc w:val="both"/>
        <w:rPr>
          <w:vertAlign w:val="baseline"/>
        </w:rPr>
      </w:pPr>
      <w:r w:rsidDel="00000000" w:rsidR="00000000" w:rsidRPr="00000000">
        <w:rPr>
          <w:vertAlign w:val="baseline"/>
          <w:rtl w:val="0"/>
        </w:rPr>
        <w:t xml:space="preserve">h) Les établissements mentionnés à l’article L. 633-1 du code de la construction et de l’habitation, qui ne relèvent pas des établissements sociaux et médico-sociaux du 6° et 7° du I de l'article L. 312-1 du code de l'action sociale et des familles, dès lors qu’ils accueillent des personnes âgées ou handicapées ;</w:t>
      </w:r>
    </w:p>
    <w:p w:rsidR="00000000" w:rsidDel="00000000" w:rsidP="00000000" w:rsidRDefault="00000000" w:rsidRPr="00000000" w14:paraId="00000080">
      <w:pPr>
        <w:ind w:firstLine="708"/>
        <w:jc w:val="both"/>
        <w:rPr>
          <w:vertAlign w:val="baseline"/>
        </w:rPr>
      </w:pPr>
      <w:r w:rsidDel="00000000" w:rsidR="00000000" w:rsidRPr="00000000">
        <w:rPr>
          <w:rtl w:val="0"/>
        </w:rPr>
      </w:r>
    </w:p>
    <w:p w:rsidR="00000000" w:rsidDel="00000000" w:rsidP="00000000" w:rsidRDefault="00000000" w:rsidRPr="00000000" w14:paraId="00000081">
      <w:pPr>
        <w:ind w:firstLine="708"/>
        <w:jc w:val="both"/>
        <w:rPr>
          <w:vertAlign w:val="baseline"/>
        </w:rPr>
      </w:pPr>
      <w:r w:rsidDel="00000000" w:rsidR="00000000" w:rsidRPr="00000000">
        <w:rPr>
          <w:vertAlign w:val="baseline"/>
          <w:rtl w:val="0"/>
        </w:rPr>
        <w:t xml:space="preserve">2° Les professionnels de santé mentionnés à la quatrième partie du code de la santé publique et les professionnels à usage de titre lorsqu’ils ne relèvent pas du 1°, ainsi que les élèves, étudiants et les autres personnes exerçant avec eux ;</w:t>
      </w:r>
    </w:p>
    <w:p w:rsidR="00000000" w:rsidDel="00000000" w:rsidP="00000000" w:rsidRDefault="00000000" w:rsidRPr="00000000" w14:paraId="00000082">
      <w:pPr>
        <w:ind w:firstLine="708"/>
        <w:jc w:val="both"/>
        <w:rPr>
          <w:vertAlign w:val="baseline"/>
        </w:rPr>
      </w:pPr>
      <w:r w:rsidDel="00000000" w:rsidR="00000000" w:rsidRPr="00000000">
        <w:rPr>
          <w:rtl w:val="0"/>
        </w:rPr>
      </w:r>
    </w:p>
    <w:p w:rsidR="00000000" w:rsidDel="00000000" w:rsidP="00000000" w:rsidRDefault="00000000" w:rsidRPr="00000000" w14:paraId="00000083">
      <w:pPr>
        <w:ind w:firstLine="708"/>
        <w:jc w:val="both"/>
        <w:rPr>
          <w:vertAlign w:val="baseline"/>
        </w:rPr>
      </w:pPr>
      <w:r w:rsidDel="00000000" w:rsidR="00000000" w:rsidRPr="00000000">
        <w:rPr>
          <w:vertAlign w:val="baseline"/>
          <w:rtl w:val="0"/>
        </w:rPr>
        <w:t xml:space="preserve">3° Les professionnels employés par un particulier employeur mentionné à l’article L. 7221-1 du code du travail effectuant des interventions au domicile des personnes attributaires des allocations définies aux articles L. 232-1 et L. 245-1 du code de l’action sociale et des familles ;</w:t>
      </w:r>
    </w:p>
    <w:p w:rsidR="00000000" w:rsidDel="00000000" w:rsidP="00000000" w:rsidRDefault="00000000" w:rsidRPr="00000000" w14:paraId="00000084">
      <w:pPr>
        <w:ind w:firstLine="708"/>
        <w:jc w:val="both"/>
        <w:rPr>
          <w:vertAlign w:val="baseline"/>
        </w:rPr>
      </w:pPr>
      <w:r w:rsidDel="00000000" w:rsidR="00000000" w:rsidRPr="00000000">
        <w:rPr>
          <w:rtl w:val="0"/>
        </w:rPr>
      </w:r>
    </w:p>
    <w:p w:rsidR="00000000" w:rsidDel="00000000" w:rsidP="00000000" w:rsidRDefault="00000000" w:rsidRPr="00000000" w14:paraId="00000085">
      <w:pPr>
        <w:ind w:firstLine="708"/>
        <w:jc w:val="both"/>
        <w:rPr>
          <w:vertAlign w:val="baseline"/>
        </w:rPr>
      </w:pPr>
      <w:r w:rsidDel="00000000" w:rsidR="00000000" w:rsidRPr="00000000">
        <w:rPr>
          <w:vertAlign w:val="baseline"/>
          <w:rtl w:val="0"/>
        </w:rPr>
        <w:t xml:space="preserve">4° Les sapeurs-pompiers et les marins-pompiers des services d'incendie et de secours, les pilotes et personnels navigants de la sécurité civile assurant la prise en charge de victimes, les militaires des unités investies à titre permanent de missions de sécurité civile mentionnés au premier alinéa de l'article L. 721-2 du code de la sécurité intérieure ainsi que les membres des associations agréées de sécurité civile au titre de l'article L. 725-3 du même code.</w:t>
      </w:r>
    </w:p>
    <w:p w:rsidR="00000000" w:rsidDel="00000000" w:rsidP="00000000" w:rsidRDefault="00000000" w:rsidRPr="00000000" w14:paraId="00000086">
      <w:pPr>
        <w:ind w:firstLine="708"/>
        <w:jc w:val="both"/>
        <w:rPr>
          <w:vertAlign w:val="baseline"/>
        </w:rPr>
      </w:pPr>
      <w:r w:rsidDel="00000000" w:rsidR="00000000" w:rsidRPr="00000000">
        <w:rPr>
          <w:rtl w:val="0"/>
        </w:rPr>
      </w:r>
    </w:p>
    <w:p w:rsidR="00000000" w:rsidDel="00000000" w:rsidP="00000000" w:rsidRDefault="00000000" w:rsidRPr="00000000" w14:paraId="00000087">
      <w:pPr>
        <w:ind w:firstLine="708"/>
        <w:jc w:val="both"/>
        <w:rPr>
          <w:vertAlign w:val="baseline"/>
        </w:rPr>
      </w:pPr>
      <w:r w:rsidDel="00000000" w:rsidR="00000000" w:rsidRPr="00000000">
        <w:rPr>
          <w:vertAlign w:val="baseline"/>
          <w:rtl w:val="0"/>
        </w:rPr>
        <w:t xml:space="preserve">5° Les personnes exerçant l’activité de transport sanitaire mentionnée à l’article L. 6312-1 du code de la santé publique, ainsi que celles assurant les transports pris en charge sur prescription médicale mentionnés à l’article L. 322-5 du code de la sécurité sociale.</w:t>
      </w:r>
    </w:p>
    <w:p w:rsidR="00000000" w:rsidDel="00000000" w:rsidP="00000000" w:rsidRDefault="00000000" w:rsidRPr="00000000" w14:paraId="00000088">
      <w:pPr>
        <w:ind w:firstLine="708"/>
        <w:jc w:val="both"/>
        <w:rPr>
          <w:vertAlign w:val="baseline"/>
        </w:rPr>
      </w:pPr>
      <w:r w:rsidDel="00000000" w:rsidR="00000000" w:rsidRPr="00000000">
        <w:rPr>
          <w:rtl w:val="0"/>
        </w:rPr>
      </w:r>
    </w:p>
    <w:p w:rsidR="00000000" w:rsidDel="00000000" w:rsidP="00000000" w:rsidRDefault="00000000" w:rsidRPr="00000000" w14:paraId="00000089">
      <w:pPr>
        <w:ind w:firstLine="708"/>
        <w:jc w:val="both"/>
        <w:rPr>
          <w:vertAlign w:val="baseline"/>
        </w:rPr>
      </w:pPr>
      <w:r w:rsidDel="00000000" w:rsidR="00000000" w:rsidRPr="00000000">
        <w:rPr>
          <w:vertAlign w:val="baseline"/>
          <w:rtl w:val="0"/>
        </w:rPr>
        <w:t xml:space="preserve">Un décret peut, compte tenu de l'évolution de la situation épidémiologique et des connaissances médicales et scientifiques, suspendre, pour tout ou partie de la population, les obligations prévues au présent I.</w:t>
      </w:r>
    </w:p>
    <w:p w:rsidR="00000000" w:rsidDel="00000000" w:rsidP="00000000" w:rsidRDefault="00000000" w:rsidRPr="00000000" w14:paraId="0000008A">
      <w:pPr>
        <w:ind w:firstLine="708"/>
        <w:jc w:val="both"/>
        <w:rPr>
          <w:vertAlign w:val="baseline"/>
        </w:rPr>
      </w:pPr>
      <w:r w:rsidDel="00000000" w:rsidR="00000000" w:rsidRPr="00000000">
        <w:rPr>
          <w:rtl w:val="0"/>
        </w:rPr>
      </w:r>
    </w:p>
    <w:p w:rsidR="00000000" w:rsidDel="00000000" w:rsidP="00000000" w:rsidRDefault="00000000" w:rsidRPr="00000000" w14:paraId="0000008B">
      <w:pPr>
        <w:ind w:firstLine="708"/>
        <w:jc w:val="both"/>
        <w:rPr>
          <w:vertAlign w:val="baseline"/>
        </w:rPr>
      </w:pPr>
      <w:r w:rsidDel="00000000" w:rsidR="00000000" w:rsidRPr="00000000">
        <w:rPr>
          <w:vertAlign w:val="baseline"/>
          <w:rtl w:val="0"/>
        </w:rPr>
        <w:t xml:space="preserve">II. – L’immunisation prévue au I est considérée comme acquise au moyen du justificatif de statut vaccinal complet prévu par le décret mentionné au dixième alinéa du A du II de l’article 1</w:t>
      </w:r>
      <w:r w:rsidDel="00000000" w:rsidR="00000000" w:rsidRPr="00000000">
        <w:rPr>
          <w:vertAlign w:val="superscript"/>
          <w:rtl w:val="0"/>
        </w:rPr>
        <w:t xml:space="preserve">er</w:t>
      </w:r>
      <w:r w:rsidDel="00000000" w:rsidR="00000000" w:rsidRPr="00000000">
        <w:rPr>
          <w:vertAlign w:val="baseline"/>
          <w:rtl w:val="0"/>
        </w:rPr>
        <w:t xml:space="preserve"> de la loi n° 2021-689 du 31 mai 2021 relative à la gestion de la sortie de crise sanitaire.</w:t>
      </w:r>
    </w:p>
    <w:p w:rsidR="00000000" w:rsidDel="00000000" w:rsidP="00000000" w:rsidRDefault="00000000" w:rsidRPr="00000000" w14:paraId="0000008C">
      <w:pPr>
        <w:ind w:firstLine="708"/>
        <w:jc w:val="both"/>
        <w:rPr>
          <w:vertAlign w:val="baseline"/>
        </w:rPr>
      </w:pPr>
      <w:r w:rsidDel="00000000" w:rsidR="00000000" w:rsidRPr="00000000">
        <w:rPr>
          <w:rtl w:val="0"/>
        </w:rPr>
      </w:r>
    </w:p>
    <w:p w:rsidR="00000000" w:rsidDel="00000000" w:rsidP="00000000" w:rsidRDefault="00000000" w:rsidRPr="00000000" w14:paraId="0000008D">
      <w:pPr>
        <w:ind w:firstLine="708"/>
        <w:jc w:val="both"/>
        <w:rPr>
          <w:vertAlign w:val="baseline"/>
        </w:rPr>
      </w:pPr>
      <w:r w:rsidDel="00000000" w:rsidR="00000000" w:rsidRPr="00000000">
        <w:rPr>
          <w:vertAlign w:val="baseline"/>
          <w:rtl w:val="0"/>
        </w:rPr>
        <w:t xml:space="preserve">Les personnes qui justifient, par la présentation d'un certificat médical, d'une contre-indication à la vaccination sont exemptées des obligations d'immunisation mentionnées au I.</w:t>
      </w:r>
    </w:p>
    <w:p w:rsidR="00000000" w:rsidDel="00000000" w:rsidP="00000000" w:rsidRDefault="00000000" w:rsidRPr="00000000" w14:paraId="0000008E">
      <w:pPr>
        <w:ind w:firstLine="708"/>
        <w:jc w:val="both"/>
        <w:rPr>
          <w:vertAlign w:val="baseline"/>
        </w:rPr>
      </w:pPr>
      <w:r w:rsidDel="00000000" w:rsidR="00000000" w:rsidRPr="00000000">
        <w:rPr>
          <w:rtl w:val="0"/>
        </w:rPr>
      </w:r>
    </w:p>
    <w:p w:rsidR="00000000" w:rsidDel="00000000" w:rsidP="00000000" w:rsidRDefault="00000000" w:rsidRPr="00000000" w14:paraId="0000008F">
      <w:pPr>
        <w:ind w:firstLine="708"/>
        <w:jc w:val="both"/>
        <w:rPr>
          <w:vertAlign w:val="baseline"/>
        </w:rPr>
      </w:pPr>
      <w:r w:rsidDel="00000000" w:rsidR="00000000" w:rsidRPr="00000000">
        <w:rPr>
          <w:vertAlign w:val="baseline"/>
          <w:rtl w:val="0"/>
        </w:rPr>
        <w:t xml:space="preserve">III. – A défaut d’avoir présenté le justificatif mentionné au II ou, pour la durée de validité de celui-ci, d’un certificat de rétablissement après une contamination par la covid 19, selon le cas, à leur employeur, à leur organisme d’assurance maladie de rattachement ou à l’agence régionale de santé compétente, les professionnels concernés :</w:t>
      </w:r>
    </w:p>
    <w:p w:rsidR="00000000" w:rsidDel="00000000" w:rsidP="00000000" w:rsidRDefault="00000000" w:rsidRPr="00000000" w14:paraId="00000090">
      <w:pPr>
        <w:ind w:firstLine="708"/>
        <w:jc w:val="both"/>
        <w:rPr>
          <w:vertAlign w:val="baseline"/>
        </w:rPr>
      </w:pPr>
      <w:r w:rsidDel="00000000" w:rsidR="00000000" w:rsidRPr="00000000">
        <w:rPr>
          <w:rtl w:val="0"/>
        </w:rPr>
      </w:r>
    </w:p>
    <w:p w:rsidR="00000000" w:rsidDel="00000000" w:rsidP="00000000" w:rsidRDefault="00000000" w:rsidRPr="00000000" w14:paraId="00000091">
      <w:pPr>
        <w:ind w:firstLine="708"/>
        <w:jc w:val="both"/>
        <w:rPr>
          <w:vertAlign w:val="baseline"/>
        </w:rPr>
      </w:pPr>
      <w:r w:rsidDel="00000000" w:rsidR="00000000" w:rsidRPr="00000000">
        <w:rPr>
          <w:vertAlign w:val="baseline"/>
          <w:rtl w:val="0"/>
        </w:rPr>
        <w:t xml:space="preserve">1° Ne peuvent plus exercer l’activité mentionnée au I, à compter du lendemain de la publication de la présente loi, à moins de présenter le résultat de l’examen de dépistage virologique ne concluant pas à une contamination par la covid-19 ;</w:t>
      </w:r>
    </w:p>
    <w:p w:rsidR="00000000" w:rsidDel="00000000" w:rsidP="00000000" w:rsidRDefault="00000000" w:rsidRPr="00000000" w14:paraId="00000092">
      <w:pPr>
        <w:ind w:firstLine="708"/>
        <w:jc w:val="both"/>
        <w:rPr>
          <w:vertAlign w:val="baseline"/>
        </w:rPr>
      </w:pPr>
      <w:r w:rsidDel="00000000" w:rsidR="00000000" w:rsidRPr="00000000">
        <w:rPr>
          <w:rtl w:val="0"/>
        </w:rPr>
      </w:r>
    </w:p>
    <w:p w:rsidR="00000000" w:rsidDel="00000000" w:rsidP="00000000" w:rsidRDefault="00000000" w:rsidRPr="00000000" w14:paraId="00000093">
      <w:pPr>
        <w:ind w:firstLine="708"/>
        <w:jc w:val="both"/>
        <w:rPr>
          <w:vertAlign w:val="baseline"/>
        </w:rPr>
      </w:pPr>
      <w:r w:rsidDel="00000000" w:rsidR="00000000" w:rsidRPr="00000000">
        <w:rPr>
          <w:vertAlign w:val="baseline"/>
          <w:rtl w:val="0"/>
        </w:rPr>
        <w:t xml:space="preserve">2° Ne peuvent plus exercer cette même activité à compter du 15 septembre 2021, à moins de présenter le justificatif de l’administration des doses de vaccins requises par le décret mentionné au II du présent article.</w:t>
      </w:r>
    </w:p>
    <w:p w:rsidR="00000000" w:rsidDel="00000000" w:rsidP="00000000" w:rsidRDefault="00000000" w:rsidRPr="00000000" w14:paraId="00000094">
      <w:pPr>
        <w:ind w:firstLine="708"/>
        <w:jc w:val="both"/>
        <w:rPr>
          <w:vertAlign w:val="baseline"/>
        </w:rPr>
      </w:pPr>
      <w:r w:rsidDel="00000000" w:rsidR="00000000" w:rsidRPr="00000000">
        <w:rPr>
          <w:rtl w:val="0"/>
        </w:rPr>
      </w:r>
    </w:p>
    <w:p w:rsidR="00000000" w:rsidDel="00000000" w:rsidP="00000000" w:rsidRDefault="00000000" w:rsidRPr="00000000" w14:paraId="00000095">
      <w:pPr>
        <w:ind w:firstLine="708"/>
        <w:jc w:val="both"/>
        <w:rPr>
          <w:vertAlign w:val="baseline"/>
        </w:rPr>
      </w:pPr>
      <w:r w:rsidDel="00000000" w:rsidR="00000000" w:rsidRPr="00000000">
        <w:rPr>
          <w:vertAlign w:val="baseline"/>
          <w:rtl w:val="0"/>
        </w:rPr>
        <w:t xml:space="preserve">Le résultat de l’examen de dépistage virologique ne concluant pas à une contamination par la covid-19 et le certificat de rétablissement à la suite d'une contamination par la covid-19 mentionnés au présent III sont ceux prévus par le même décret.</w:t>
      </w:r>
    </w:p>
    <w:p w:rsidR="00000000" w:rsidDel="00000000" w:rsidP="00000000" w:rsidRDefault="00000000" w:rsidRPr="00000000" w14:paraId="00000096">
      <w:pPr>
        <w:ind w:firstLine="708"/>
        <w:jc w:val="both"/>
        <w:rPr>
          <w:vertAlign w:val="baseline"/>
        </w:rPr>
      </w:pPr>
      <w:r w:rsidDel="00000000" w:rsidR="00000000" w:rsidRPr="00000000">
        <w:rPr>
          <w:rtl w:val="0"/>
        </w:rPr>
      </w:r>
    </w:p>
    <w:p w:rsidR="00000000" w:rsidDel="00000000" w:rsidP="00000000" w:rsidRDefault="00000000" w:rsidRPr="00000000" w14:paraId="00000097">
      <w:pPr>
        <w:ind w:firstLine="708"/>
        <w:jc w:val="both"/>
        <w:rPr>
          <w:vertAlign w:val="baseline"/>
        </w:rPr>
      </w:pPr>
      <w:r w:rsidDel="00000000" w:rsidR="00000000" w:rsidRPr="00000000">
        <w:rPr>
          <w:vertAlign w:val="baseline"/>
          <w:rtl w:val="0"/>
        </w:rPr>
        <w:t xml:space="preserve">L’interdiction d’exercer est notifiée, selon le cas, par leur employeur, l’organisme d’assurance maladie de rattachement ou l’agence régionale de santé compétente.</w:t>
      </w:r>
    </w:p>
    <w:p w:rsidR="00000000" w:rsidDel="00000000" w:rsidP="00000000" w:rsidRDefault="00000000" w:rsidRPr="00000000" w14:paraId="00000098">
      <w:pPr>
        <w:ind w:firstLine="708"/>
        <w:jc w:val="both"/>
        <w:rPr>
          <w:vertAlign w:val="baseline"/>
        </w:rPr>
      </w:pPr>
      <w:r w:rsidDel="00000000" w:rsidR="00000000" w:rsidRPr="00000000">
        <w:rPr>
          <w:rtl w:val="0"/>
        </w:rPr>
      </w:r>
    </w:p>
    <w:p w:rsidR="00000000" w:rsidDel="00000000" w:rsidP="00000000" w:rsidRDefault="00000000" w:rsidRPr="00000000" w14:paraId="00000099">
      <w:pPr>
        <w:ind w:firstLine="708"/>
        <w:jc w:val="both"/>
        <w:rPr>
          <w:vertAlign w:val="baseline"/>
        </w:rPr>
      </w:pPr>
      <w:r w:rsidDel="00000000" w:rsidR="00000000" w:rsidRPr="00000000">
        <w:rPr>
          <w:vertAlign w:val="baseline"/>
          <w:rtl w:val="0"/>
        </w:rPr>
        <w:t xml:space="preserve">Le fait pour un professionnel de ne plus pouvoir exercer pendant une période de plus de deux mois en application du présent III justifie son licenciement.</w:t>
      </w:r>
    </w:p>
    <w:p w:rsidR="00000000" w:rsidDel="00000000" w:rsidP="00000000" w:rsidRDefault="00000000" w:rsidRPr="00000000" w14:paraId="0000009A">
      <w:pPr>
        <w:ind w:firstLine="708"/>
        <w:jc w:val="both"/>
        <w:rPr>
          <w:vertAlign w:val="baseline"/>
        </w:rPr>
      </w:pPr>
      <w:r w:rsidDel="00000000" w:rsidR="00000000" w:rsidRPr="00000000">
        <w:rPr>
          <w:rtl w:val="0"/>
        </w:rPr>
      </w:r>
    </w:p>
    <w:p w:rsidR="00000000" w:rsidDel="00000000" w:rsidP="00000000" w:rsidRDefault="00000000" w:rsidRPr="00000000" w14:paraId="0000009B">
      <w:pPr>
        <w:ind w:firstLine="708"/>
        <w:jc w:val="both"/>
        <w:rPr>
          <w:vertAlign w:val="baseline"/>
        </w:rPr>
      </w:pPr>
      <w:r w:rsidDel="00000000" w:rsidR="00000000" w:rsidRPr="00000000">
        <w:rPr>
          <w:vertAlign w:val="baseline"/>
          <w:rtl w:val="0"/>
        </w:rPr>
        <w:t xml:space="preserve">IV. – La méconnaissance de l’interdiction d’exercer mentionnée au III est sanctionnée dans les mêmes conditions que celles prévues à l’article L. 3136-1 du code de la santé publique pour le fait pour toute personne de se rendre dans un établissement recevant du public en méconnaissance d'une mesure édictée sur le fondement du 5° du I de l'article L. 3131-15 du même code.</w:t>
      </w:r>
    </w:p>
    <w:p w:rsidR="00000000" w:rsidDel="00000000" w:rsidP="00000000" w:rsidRDefault="00000000" w:rsidRPr="00000000" w14:paraId="0000009C">
      <w:pPr>
        <w:ind w:firstLine="708"/>
        <w:jc w:val="both"/>
        <w:rPr>
          <w:vertAlign w:val="baseline"/>
        </w:rPr>
      </w:pPr>
      <w:r w:rsidDel="00000000" w:rsidR="00000000" w:rsidRPr="00000000">
        <w:rPr>
          <w:rtl w:val="0"/>
        </w:rPr>
      </w:r>
    </w:p>
    <w:p w:rsidR="00000000" w:rsidDel="00000000" w:rsidP="00000000" w:rsidRDefault="00000000" w:rsidRPr="00000000" w14:paraId="0000009D">
      <w:pPr>
        <w:ind w:firstLine="708"/>
        <w:jc w:val="both"/>
        <w:rPr>
          <w:vertAlign w:val="baseline"/>
        </w:rPr>
      </w:pPr>
      <w:r w:rsidDel="00000000" w:rsidR="00000000" w:rsidRPr="00000000">
        <w:rPr>
          <w:vertAlign w:val="baseline"/>
          <w:rtl w:val="0"/>
        </w:rPr>
        <w:t xml:space="preserve">La méconnaissance de l’obligation de contrôler le respect de l’obligation vaccinale mentionnée au I est sanctionnée dans les mêmes conditions que le manquement mentionné au dernier alinéa du C du II de l’article 1</w:t>
      </w:r>
      <w:r w:rsidDel="00000000" w:rsidR="00000000" w:rsidRPr="00000000">
        <w:rPr>
          <w:vertAlign w:val="superscript"/>
          <w:rtl w:val="0"/>
        </w:rPr>
        <w:t xml:space="preserve">er</w:t>
      </w:r>
      <w:r w:rsidDel="00000000" w:rsidR="00000000" w:rsidRPr="00000000">
        <w:rPr>
          <w:vertAlign w:val="baseline"/>
          <w:rtl w:val="0"/>
        </w:rPr>
        <w:t xml:space="preserve"> de la loi n° 2021-689 du 31 mai 2021 relative à la gestion de la sortie de crise sanitaire.</w:t>
      </w:r>
    </w:p>
    <w:p w:rsidR="00000000" w:rsidDel="00000000" w:rsidP="00000000" w:rsidRDefault="00000000" w:rsidRPr="00000000" w14:paraId="0000009E">
      <w:pPr>
        <w:ind w:firstLine="708"/>
        <w:jc w:val="both"/>
        <w:rPr>
          <w:vertAlign w:val="baseline"/>
        </w:rPr>
      </w:pPr>
      <w:r w:rsidDel="00000000" w:rsidR="00000000" w:rsidRPr="00000000">
        <w:rPr>
          <w:rtl w:val="0"/>
        </w:rPr>
      </w:r>
    </w:p>
    <w:p w:rsidR="00000000" w:rsidDel="00000000" w:rsidP="00000000" w:rsidRDefault="00000000" w:rsidRPr="00000000" w14:paraId="0000009F">
      <w:pPr>
        <w:ind w:firstLine="708"/>
        <w:jc w:val="both"/>
        <w:rPr>
          <w:vertAlign w:val="baseline"/>
        </w:rPr>
      </w:pPr>
      <w:r w:rsidDel="00000000" w:rsidR="00000000" w:rsidRPr="00000000">
        <w:rPr>
          <w:vertAlign w:val="baseline"/>
          <w:rtl w:val="0"/>
        </w:rPr>
        <w:t xml:space="preserve">Les dispositions de l’alinéa précédent ne sont pas applicables au particulier employeur mentionné au 3° du I.</w:t>
      </w:r>
    </w:p>
    <w:p w:rsidR="00000000" w:rsidDel="00000000" w:rsidP="00000000" w:rsidRDefault="00000000" w:rsidRPr="00000000" w14:paraId="000000A0">
      <w:pPr>
        <w:ind w:firstLine="708"/>
        <w:jc w:val="both"/>
        <w:rPr>
          <w:vertAlign w:val="baseline"/>
        </w:rPr>
      </w:pPr>
      <w:r w:rsidDel="00000000" w:rsidR="00000000" w:rsidRPr="00000000">
        <w:rPr>
          <w:rtl w:val="0"/>
        </w:rPr>
      </w:r>
    </w:p>
    <w:p w:rsidR="00000000" w:rsidDel="00000000" w:rsidP="00000000" w:rsidRDefault="00000000" w:rsidRPr="00000000" w14:paraId="000000A1">
      <w:pPr>
        <w:ind w:firstLine="708"/>
        <w:jc w:val="both"/>
        <w:rPr>
          <w:vertAlign w:val="baseline"/>
        </w:rPr>
      </w:pPr>
      <w:r w:rsidDel="00000000" w:rsidR="00000000" w:rsidRPr="00000000">
        <w:rPr>
          <w:vertAlign w:val="baseline"/>
          <w:rtl w:val="0"/>
        </w:rPr>
        <w:t xml:space="preserve">V. – Le présent article est applicable à Wallis-et-Futuna.</w:t>
      </w:r>
    </w:p>
    <w:p w:rsidR="00000000" w:rsidDel="00000000" w:rsidP="00000000" w:rsidRDefault="00000000" w:rsidRPr="00000000" w14:paraId="000000A2">
      <w:pPr>
        <w:ind w:firstLine="708"/>
        <w:jc w:val="both"/>
        <w:rPr>
          <w:vertAlign w:val="baseline"/>
        </w:rPr>
      </w:pPr>
      <w:r w:rsidDel="00000000" w:rsidR="00000000" w:rsidRPr="00000000">
        <w:rPr>
          <w:rtl w:val="0"/>
        </w:rPr>
      </w:r>
    </w:p>
    <w:p w:rsidR="00000000" w:rsidDel="00000000" w:rsidP="00000000" w:rsidRDefault="00000000" w:rsidRPr="00000000" w14:paraId="000000A3">
      <w:pPr>
        <w:ind w:firstLine="708"/>
        <w:jc w:val="both"/>
        <w:rPr>
          <w:vertAlign w:val="baseline"/>
        </w:rPr>
      </w:pPr>
      <w:r w:rsidDel="00000000" w:rsidR="00000000" w:rsidRPr="00000000">
        <w:rPr>
          <w:rtl w:val="0"/>
        </w:rPr>
      </w:r>
    </w:p>
    <w:p w:rsidR="00000000" w:rsidDel="00000000" w:rsidP="00000000" w:rsidRDefault="00000000" w:rsidRPr="00000000" w14:paraId="000000A4">
      <w:pPr>
        <w:jc w:val="center"/>
        <w:rPr>
          <w:b w:val="0"/>
          <w:vertAlign w:val="baseline"/>
        </w:rPr>
      </w:pPr>
      <w:r w:rsidDel="00000000" w:rsidR="00000000" w:rsidRPr="00000000">
        <w:rPr>
          <w:b w:val="1"/>
          <w:vertAlign w:val="baseline"/>
          <w:rtl w:val="0"/>
        </w:rPr>
        <w:t xml:space="preserve">Article 6</w:t>
      </w:r>
      <w:r w:rsidDel="00000000" w:rsidR="00000000" w:rsidRPr="00000000">
        <w:rPr>
          <w:rtl w:val="0"/>
        </w:rPr>
      </w:r>
    </w:p>
    <w:p w:rsidR="00000000" w:rsidDel="00000000" w:rsidP="00000000" w:rsidRDefault="00000000" w:rsidRPr="00000000" w14:paraId="000000A5">
      <w:pPr>
        <w:jc w:val="both"/>
        <w:rPr>
          <w:vertAlign w:val="baseline"/>
        </w:rPr>
      </w:pPr>
      <w:r w:rsidDel="00000000" w:rsidR="00000000" w:rsidRPr="00000000">
        <w:rPr>
          <w:rtl w:val="0"/>
        </w:rPr>
      </w:r>
    </w:p>
    <w:p w:rsidR="00000000" w:rsidDel="00000000" w:rsidP="00000000" w:rsidRDefault="00000000" w:rsidRPr="00000000" w14:paraId="000000A6">
      <w:pPr>
        <w:ind w:firstLine="708"/>
        <w:jc w:val="both"/>
        <w:rPr>
          <w:vertAlign w:val="baseline"/>
        </w:rPr>
      </w:pPr>
      <w:r w:rsidDel="00000000" w:rsidR="00000000" w:rsidRPr="00000000">
        <w:rPr>
          <w:vertAlign w:val="baseline"/>
          <w:rtl w:val="0"/>
        </w:rPr>
        <w:t xml:space="preserve">Le salarié bénéficie d'une autorisation d'absence pour se rendre aux rendez-vous médicaux liés aux vaccinations contre le SARS-Cov-2.</w:t>
      </w:r>
    </w:p>
    <w:p w:rsidR="00000000" w:rsidDel="00000000" w:rsidP="00000000" w:rsidRDefault="00000000" w:rsidRPr="00000000" w14:paraId="000000A7">
      <w:pPr>
        <w:ind w:firstLine="708"/>
        <w:jc w:val="both"/>
        <w:rPr>
          <w:vertAlign w:val="baseline"/>
        </w:rPr>
      </w:pPr>
      <w:r w:rsidDel="00000000" w:rsidR="00000000" w:rsidRPr="00000000">
        <w:rPr>
          <w:rtl w:val="0"/>
        </w:rPr>
      </w:r>
    </w:p>
    <w:p w:rsidR="00000000" w:rsidDel="00000000" w:rsidP="00000000" w:rsidRDefault="00000000" w:rsidRPr="00000000" w14:paraId="000000A8">
      <w:pPr>
        <w:ind w:firstLine="708"/>
        <w:jc w:val="both"/>
        <w:rPr>
          <w:vertAlign w:val="baseline"/>
        </w:rPr>
      </w:pPr>
      <w:r w:rsidDel="00000000" w:rsidR="00000000" w:rsidRPr="00000000">
        <w:rPr>
          <w:vertAlign w:val="baseline"/>
          <w:rtl w:val="0"/>
        </w:rPr>
        <w:t xml:space="preserve">Ces absences n'entraînent aucune diminution de la rémunération et sont assimilées à une période de travail effectif pour la détermination de la durée des congés payés ainsi que pour les droits légaux ou conventionnels acquis par le salarié au titre de son ancienneté dans l'entreprise.</w:t>
      </w:r>
    </w:p>
    <w:sectPr>
      <w:headerReference r:id="rId9" w:type="default"/>
      <w:headerReference r:id="rId10" w:type="even"/>
      <w:pgSz w:h="16838" w:w="11906" w:orient="portrait"/>
      <w:pgMar w:bottom="1134" w:top="1418" w:left="1559" w:right="99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NOR :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